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1.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2.xml" ContentType="application/vnd.openxmlformats-officedocument.themeOverrid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3.xml" ContentType="application/vnd.openxmlformats-officedocument.themeOverrid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4.xml" ContentType="application/vnd.openxmlformats-officedocument.themeOverrid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5.xml" ContentType="application/vnd.openxmlformats-officedocument.themeOverrid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6.xml" ContentType="application/vnd.openxmlformats-officedocument.themeOverrid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A9740" w14:textId="3AAC68D4" w:rsidR="00813B63" w:rsidRPr="00F248C2" w:rsidRDefault="00813B63" w:rsidP="00813B63">
      <w:pPr>
        <w:rPr>
          <w:rFonts w:asciiTheme="majorHAnsi" w:eastAsia="Times New Roman" w:hAnsiTheme="majorHAnsi" w:cstheme="majorHAnsi"/>
        </w:rPr>
      </w:pPr>
      <w:bookmarkStart w:id="0" w:name="_Hlk238126042"/>
      <w:bookmarkEnd w:id="0"/>
      <w:r w:rsidRPr="00F248C2">
        <w:rPr>
          <w:rFonts w:asciiTheme="majorHAnsi" w:eastAsia="Times New Roman" w:hAnsiTheme="majorHAnsi" w:cstheme="majorHAnsi"/>
          <w:b/>
          <w:bCs/>
        </w:rPr>
        <w:t>DARBUOTOJŲ MOKYMOSI IR TOBULĖJIMO REZULTATAI</w:t>
      </w:r>
      <w:r>
        <w:rPr>
          <w:rFonts w:asciiTheme="majorHAnsi" w:eastAsia="Times New Roman" w:hAnsiTheme="majorHAnsi" w:cstheme="majorHAnsi"/>
          <w:b/>
          <w:bCs/>
        </w:rPr>
        <w:t>, 2025 metai</w:t>
      </w:r>
    </w:p>
    <w:p w14:paraId="56C91251" w14:textId="77777777" w:rsidR="00813B63" w:rsidRPr="00F248C2" w:rsidRDefault="00813B63" w:rsidP="00813B63">
      <w:pPr>
        <w:rPr>
          <w:rFonts w:asciiTheme="majorHAnsi" w:eastAsia="Times New Roman" w:hAnsiTheme="majorHAnsi" w:cstheme="majorHAnsi"/>
        </w:rPr>
      </w:pPr>
    </w:p>
    <w:p w14:paraId="7AD0A3BC" w14:textId="77777777" w:rsidR="00813B63" w:rsidRPr="00F248C2" w:rsidRDefault="00813B63" w:rsidP="00813B63">
      <w:pPr>
        <w:rPr>
          <w:rFonts w:asciiTheme="majorHAnsi" w:eastAsia="Times New Roman" w:hAnsiTheme="majorHAnsi" w:cstheme="majorHAnsi"/>
          <w:sz w:val="22"/>
          <w:szCs w:val="22"/>
        </w:rPr>
      </w:pPr>
      <w:r w:rsidRPr="00F248C2">
        <w:rPr>
          <w:rFonts w:asciiTheme="majorHAnsi" w:eastAsia="Times New Roman" w:hAnsiTheme="majorHAnsi" w:cstheme="majorHAnsi"/>
          <w:sz w:val="22"/>
          <w:szCs w:val="22"/>
        </w:rPr>
        <w:t xml:space="preserve">9 KRITERIJUS: Socialinių paslaugų teikėjas taiko personalo kvalifikacijos kėlimo priemones remdamasis asmeniniu ugdymosi, nuolatinio mokymosi ir tobulėjimo planu. </w:t>
      </w:r>
    </w:p>
    <w:p w14:paraId="31265C3B" w14:textId="77777777" w:rsidR="00813B63" w:rsidRPr="00F248C2" w:rsidRDefault="00813B63" w:rsidP="00813B63">
      <w:pPr>
        <w:rPr>
          <w:rFonts w:asciiTheme="majorHAnsi" w:eastAsia="Times New Roman" w:hAnsiTheme="majorHAnsi" w:cstheme="majorHAnsi"/>
          <w:sz w:val="20"/>
          <w:szCs w:val="20"/>
        </w:rPr>
      </w:pPr>
    </w:p>
    <w:p w14:paraId="27AD23DE" w14:textId="12BA9970" w:rsidR="00813B63" w:rsidRPr="00F248C2" w:rsidRDefault="00813B63" w:rsidP="00813B63">
      <w:pPr>
        <w:rPr>
          <w:rFonts w:asciiTheme="majorHAnsi" w:eastAsia="Times New Roman" w:hAnsiTheme="majorHAnsi" w:cstheme="majorHAnsi"/>
          <w:i/>
          <w:iCs/>
          <w:sz w:val="20"/>
          <w:szCs w:val="20"/>
        </w:rPr>
      </w:pPr>
      <w:r w:rsidRPr="00F248C2">
        <w:rPr>
          <w:rFonts w:asciiTheme="majorHAnsi" w:eastAsia="Times New Roman" w:hAnsiTheme="majorHAnsi" w:cstheme="majorHAnsi"/>
          <w:sz w:val="20"/>
          <w:szCs w:val="20"/>
        </w:rPr>
        <w:t>Rodiklis</w:t>
      </w:r>
      <w:r w:rsidRPr="00FC103B">
        <w:rPr>
          <w:rFonts w:asciiTheme="majorHAnsi" w:eastAsia="Times New Roman" w:hAnsiTheme="majorHAnsi" w:cstheme="majorHAnsi"/>
          <w:i/>
          <w:iCs/>
          <w:sz w:val="20"/>
          <w:szCs w:val="20"/>
        </w:rPr>
        <w:t xml:space="preserve">: </w:t>
      </w:r>
      <w:r>
        <w:rPr>
          <w:rFonts w:asciiTheme="majorHAnsi" w:eastAsia="Times New Roman" w:hAnsiTheme="majorHAnsi" w:cstheme="majorHAnsi"/>
          <w:i/>
          <w:iCs/>
          <w:sz w:val="20"/>
          <w:szCs w:val="20"/>
        </w:rPr>
        <w:t>susideda iš dviejų dalių; 1) d</w:t>
      </w:r>
      <w:r w:rsidRPr="00FC103B">
        <w:rPr>
          <w:rFonts w:asciiTheme="majorHAnsi" w:eastAsia="Times New Roman" w:hAnsiTheme="majorHAnsi" w:cstheme="majorHAnsi"/>
          <w:i/>
          <w:iCs/>
          <w:sz w:val="20"/>
          <w:szCs w:val="20"/>
        </w:rPr>
        <w:t>arbuotojų, teigiamai įvertinusių  profesin</w:t>
      </w:r>
      <w:r>
        <w:rPr>
          <w:rFonts w:asciiTheme="majorHAnsi" w:eastAsia="Times New Roman" w:hAnsiTheme="majorHAnsi" w:cstheme="majorHAnsi"/>
          <w:i/>
          <w:iCs/>
          <w:sz w:val="20"/>
          <w:szCs w:val="20"/>
        </w:rPr>
        <w:t>io tobulinimosi</w:t>
      </w:r>
      <w:r w:rsidRPr="00FC103B">
        <w:rPr>
          <w:rFonts w:asciiTheme="majorHAnsi" w:eastAsia="Times New Roman" w:hAnsiTheme="majorHAnsi" w:cstheme="majorHAnsi"/>
          <w:i/>
          <w:iCs/>
          <w:sz w:val="20"/>
          <w:szCs w:val="20"/>
        </w:rPr>
        <w:t xml:space="preserve"> poreikių tenkinimą</w:t>
      </w:r>
      <w:r>
        <w:rPr>
          <w:rFonts w:asciiTheme="majorHAnsi" w:eastAsia="Times New Roman" w:hAnsiTheme="majorHAnsi" w:cstheme="majorHAnsi"/>
          <w:i/>
          <w:iCs/>
          <w:sz w:val="20"/>
          <w:szCs w:val="20"/>
        </w:rPr>
        <w:t xml:space="preserve">; 2) </w:t>
      </w:r>
      <w:r w:rsidRPr="00FC103B">
        <w:rPr>
          <w:rFonts w:asciiTheme="majorHAnsi" w:eastAsia="Times New Roman" w:hAnsiTheme="majorHAnsi" w:cstheme="majorHAnsi"/>
          <w:i/>
          <w:iCs/>
          <w:sz w:val="20"/>
          <w:szCs w:val="20"/>
        </w:rPr>
        <w:t xml:space="preserve"> įgytų žinių pritaikymą profesinėje veikloje procentas nuo visų tobulinusių kvalifikaciją skaičiaus</w:t>
      </w:r>
      <w:r>
        <w:rPr>
          <w:rFonts w:asciiTheme="majorHAnsi" w:eastAsia="Times New Roman" w:hAnsiTheme="majorHAnsi" w:cstheme="majorHAnsi"/>
          <w:i/>
          <w:iCs/>
          <w:sz w:val="20"/>
          <w:szCs w:val="20"/>
        </w:rPr>
        <w:t>.</w:t>
      </w:r>
    </w:p>
    <w:p w14:paraId="68CB9D36" w14:textId="34A3C37C" w:rsidR="00813B63" w:rsidRPr="00F248C2" w:rsidRDefault="00813B63" w:rsidP="00813B63">
      <w:pPr>
        <w:pStyle w:val="NormalWeb"/>
        <w:spacing w:before="0" w:beforeAutospacing="0" w:after="0" w:afterAutospacing="0"/>
        <w:jc w:val="both"/>
        <w:rPr>
          <w:rFonts w:asciiTheme="majorHAnsi" w:hAnsiTheme="majorHAnsi" w:cstheme="majorHAnsi"/>
          <w:sz w:val="20"/>
          <w:szCs w:val="20"/>
        </w:rPr>
      </w:pPr>
      <w:r w:rsidRPr="00F248C2">
        <w:rPr>
          <w:rFonts w:asciiTheme="majorHAnsi" w:hAnsiTheme="majorHAnsi" w:cstheme="majorHAnsi"/>
          <w:sz w:val="20"/>
          <w:szCs w:val="20"/>
        </w:rPr>
        <w:t xml:space="preserve">Rodiklio apskaičiavimo formulė: darbuotojų, </w:t>
      </w:r>
      <w:r>
        <w:rPr>
          <w:rFonts w:asciiTheme="majorHAnsi" w:hAnsiTheme="majorHAnsi" w:cstheme="majorHAnsi"/>
          <w:sz w:val="20"/>
          <w:szCs w:val="20"/>
        </w:rPr>
        <w:t xml:space="preserve">teigiamai </w:t>
      </w:r>
      <w:r w:rsidRPr="00F248C2">
        <w:rPr>
          <w:rFonts w:asciiTheme="majorHAnsi" w:hAnsiTheme="majorHAnsi" w:cstheme="majorHAnsi"/>
          <w:sz w:val="20"/>
          <w:szCs w:val="20"/>
        </w:rPr>
        <w:t xml:space="preserve">vertinusių, kiek kvalifikacijos kėlimo veikla tenkino profesinius </w:t>
      </w:r>
      <w:r>
        <w:rPr>
          <w:rFonts w:asciiTheme="majorHAnsi" w:hAnsiTheme="majorHAnsi" w:cstheme="majorHAnsi"/>
          <w:sz w:val="20"/>
          <w:szCs w:val="20"/>
        </w:rPr>
        <w:t xml:space="preserve">tobulinimosi </w:t>
      </w:r>
      <w:r w:rsidRPr="00F248C2">
        <w:rPr>
          <w:rFonts w:asciiTheme="majorHAnsi" w:hAnsiTheme="majorHAnsi" w:cstheme="majorHAnsi"/>
          <w:sz w:val="20"/>
          <w:szCs w:val="20"/>
        </w:rPr>
        <w:t xml:space="preserve">poreikius ir kiek įgytas žinias </w:t>
      </w:r>
      <w:r>
        <w:rPr>
          <w:rFonts w:asciiTheme="majorHAnsi" w:hAnsiTheme="majorHAnsi" w:cstheme="majorHAnsi"/>
          <w:sz w:val="20"/>
          <w:szCs w:val="20"/>
        </w:rPr>
        <w:t>pri</w:t>
      </w:r>
      <w:r w:rsidRPr="00F248C2">
        <w:rPr>
          <w:rFonts w:asciiTheme="majorHAnsi" w:hAnsiTheme="majorHAnsi" w:cstheme="majorHAnsi"/>
          <w:sz w:val="20"/>
          <w:szCs w:val="20"/>
        </w:rPr>
        <w:t>taik</w:t>
      </w:r>
      <w:r>
        <w:rPr>
          <w:rFonts w:asciiTheme="majorHAnsi" w:hAnsiTheme="majorHAnsi" w:cstheme="majorHAnsi"/>
          <w:sz w:val="20"/>
          <w:szCs w:val="20"/>
        </w:rPr>
        <w:t>ė</w:t>
      </w:r>
      <w:r w:rsidRPr="00F248C2">
        <w:rPr>
          <w:rFonts w:asciiTheme="majorHAnsi" w:hAnsiTheme="majorHAnsi" w:cstheme="majorHAnsi"/>
          <w:sz w:val="20"/>
          <w:szCs w:val="20"/>
        </w:rPr>
        <w:t xml:space="preserve"> savo profesinėje veikloje</w:t>
      </w:r>
      <w:r>
        <w:rPr>
          <w:rFonts w:asciiTheme="majorHAnsi" w:hAnsiTheme="majorHAnsi" w:cstheme="majorHAnsi"/>
          <w:sz w:val="20"/>
          <w:szCs w:val="20"/>
        </w:rPr>
        <w:t>,</w:t>
      </w:r>
      <w:r w:rsidRPr="00F248C2">
        <w:rPr>
          <w:rFonts w:asciiTheme="majorHAnsi" w:hAnsiTheme="majorHAnsi" w:cstheme="majorHAnsi"/>
          <w:sz w:val="20"/>
          <w:szCs w:val="20"/>
        </w:rPr>
        <w:t xml:space="preserve"> </w:t>
      </w:r>
      <w:r w:rsidR="00693578">
        <w:rPr>
          <w:rFonts w:asciiTheme="majorHAnsi" w:hAnsiTheme="majorHAnsi" w:cstheme="majorHAnsi"/>
          <w:sz w:val="20"/>
          <w:szCs w:val="20"/>
        </w:rPr>
        <w:t xml:space="preserve">procentai nuo </w:t>
      </w:r>
      <w:r w:rsidRPr="00F248C2">
        <w:rPr>
          <w:rFonts w:asciiTheme="majorHAnsi" w:hAnsiTheme="majorHAnsi" w:cstheme="majorHAnsi"/>
          <w:sz w:val="20"/>
          <w:szCs w:val="20"/>
        </w:rPr>
        <w:t>bendr</w:t>
      </w:r>
      <w:r w:rsidR="00693578">
        <w:rPr>
          <w:rFonts w:asciiTheme="majorHAnsi" w:hAnsiTheme="majorHAnsi" w:cstheme="majorHAnsi"/>
          <w:sz w:val="20"/>
          <w:szCs w:val="20"/>
        </w:rPr>
        <w:t>o</w:t>
      </w:r>
      <w:r w:rsidRPr="00F248C2">
        <w:rPr>
          <w:rFonts w:asciiTheme="majorHAnsi" w:hAnsiTheme="majorHAnsi" w:cstheme="majorHAnsi"/>
          <w:sz w:val="20"/>
          <w:szCs w:val="20"/>
        </w:rPr>
        <w:t xml:space="preserve"> kvalifikaciją kėlusių darbuotojų </w:t>
      </w:r>
      <w:r w:rsidR="00693578">
        <w:rPr>
          <w:rFonts w:asciiTheme="majorHAnsi" w:hAnsiTheme="majorHAnsi" w:cstheme="majorHAnsi"/>
          <w:sz w:val="20"/>
          <w:szCs w:val="20"/>
        </w:rPr>
        <w:t>procento</w:t>
      </w:r>
      <w:r>
        <w:rPr>
          <w:rFonts w:asciiTheme="majorHAnsi" w:hAnsiTheme="majorHAnsi" w:cstheme="majorHAnsi"/>
          <w:sz w:val="20"/>
          <w:szCs w:val="20"/>
        </w:rPr>
        <w:t xml:space="preserve"> 2025 m</w:t>
      </w:r>
      <w:r w:rsidRPr="00F248C2">
        <w:rPr>
          <w:rFonts w:asciiTheme="majorHAnsi" w:hAnsiTheme="majorHAnsi" w:cstheme="majorHAnsi"/>
          <w:sz w:val="20"/>
          <w:szCs w:val="20"/>
        </w:rPr>
        <w:t>. Rezultatai vertinami metų pabaigoje.</w:t>
      </w:r>
    </w:p>
    <w:p w14:paraId="665B0FCF" w14:textId="77777777" w:rsidR="00813B63" w:rsidRPr="00F248C2" w:rsidRDefault="00813B63" w:rsidP="00813B63">
      <w:pPr>
        <w:jc w:val="both"/>
        <w:rPr>
          <w:rFonts w:asciiTheme="majorHAnsi" w:hAnsiTheme="majorHAnsi" w:cstheme="majorHAnsi"/>
          <w:sz w:val="20"/>
          <w:szCs w:val="20"/>
        </w:rPr>
      </w:pPr>
    </w:p>
    <w:p w14:paraId="4E7A6751" w14:textId="462F7E35" w:rsidR="00813B63" w:rsidRPr="00F248C2" w:rsidRDefault="00813B63" w:rsidP="00813B63">
      <w:pPr>
        <w:jc w:val="both"/>
        <w:rPr>
          <w:rFonts w:asciiTheme="majorHAnsi" w:hAnsiTheme="majorHAnsi" w:cstheme="majorHAnsi"/>
          <w:sz w:val="20"/>
          <w:szCs w:val="20"/>
        </w:rPr>
      </w:pPr>
      <w:r w:rsidRPr="00F248C2">
        <w:rPr>
          <w:rFonts w:asciiTheme="majorHAnsi" w:hAnsiTheme="majorHAnsi" w:cstheme="majorHAnsi"/>
          <w:sz w:val="20"/>
          <w:szCs w:val="20"/>
        </w:rPr>
        <w:t xml:space="preserve">Kauno kartų namuose (toliau - KKN) darbui su senyvo amžiaus asmenimis yra 34 etatai. Iš viso yra 41 etatas, tiek žmonių nuolat ir dirba. Septyni iš šių darbuotojų nėra susiję su EQUASS licencijuoto padalinio veikla. Personalo ugdymosi, nuolatinio mokymosi ir tobulėjimo rezultatai vertinami kartą metuose, kaip numatyta „Kauno kartų namų personalo </w:t>
      </w:r>
      <w:r>
        <w:rPr>
          <w:rFonts w:asciiTheme="majorHAnsi" w:hAnsiTheme="majorHAnsi" w:cstheme="majorHAnsi"/>
          <w:sz w:val="20"/>
          <w:szCs w:val="20"/>
        </w:rPr>
        <w:t xml:space="preserve">kompetencijų tobulinimo </w:t>
      </w:r>
      <w:r w:rsidRPr="00F248C2">
        <w:rPr>
          <w:rFonts w:asciiTheme="majorHAnsi" w:hAnsiTheme="majorHAnsi" w:cstheme="majorHAnsi"/>
          <w:sz w:val="20"/>
          <w:szCs w:val="20"/>
        </w:rPr>
        <w:t xml:space="preserve">valdymo procese“. Iš </w:t>
      </w:r>
      <w:r>
        <w:rPr>
          <w:rFonts w:asciiTheme="majorHAnsi" w:hAnsiTheme="majorHAnsi" w:cstheme="majorHAnsi"/>
          <w:sz w:val="20"/>
          <w:szCs w:val="20"/>
        </w:rPr>
        <w:t xml:space="preserve">41 darbuotojo </w:t>
      </w:r>
      <w:r w:rsidRPr="00F248C2">
        <w:rPr>
          <w:rFonts w:asciiTheme="majorHAnsi" w:hAnsiTheme="majorHAnsi" w:cstheme="majorHAnsi"/>
          <w:sz w:val="20"/>
          <w:szCs w:val="20"/>
        </w:rPr>
        <w:t>per 202</w:t>
      </w:r>
      <w:r>
        <w:rPr>
          <w:rFonts w:asciiTheme="majorHAnsi" w:hAnsiTheme="majorHAnsi" w:cstheme="majorHAnsi"/>
          <w:sz w:val="20"/>
          <w:szCs w:val="20"/>
        </w:rPr>
        <w:t>5</w:t>
      </w:r>
      <w:r w:rsidRPr="00F248C2">
        <w:rPr>
          <w:rFonts w:asciiTheme="majorHAnsi" w:hAnsiTheme="majorHAnsi" w:cstheme="majorHAnsi"/>
          <w:sz w:val="20"/>
          <w:szCs w:val="20"/>
        </w:rPr>
        <w:t xml:space="preserve"> m. mokymuose dalyvavo </w:t>
      </w:r>
      <w:r>
        <w:rPr>
          <w:rFonts w:asciiTheme="majorHAnsi" w:hAnsiTheme="majorHAnsi" w:cstheme="majorHAnsi"/>
          <w:sz w:val="20"/>
          <w:szCs w:val="20"/>
        </w:rPr>
        <w:t>38</w:t>
      </w:r>
      <w:r w:rsidRPr="00F248C2">
        <w:rPr>
          <w:rFonts w:asciiTheme="majorHAnsi" w:hAnsiTheme="majorHAnsi" w:cstheme="majorHAnsi"/>
          <w:sz w:val="20"/>
          <w:szCs w:val="20"/>
        </w:rPr>
        <w:t xml:space="preserve"> KKN darbuotojai. </w:t>
      </w:r>
      <w:r w:rsidR="0059041C" w:rsidRPr="00F248C2">
        <w:rPr>
          <w:rFonts w:asciiTheme="majorHAnsi" w:eastAsia="Times New Roman" w:hAnsiTheme="majorHAnsi" w:cstheme="majorHAnsi"/>
          <w:sz w:val="20"/>
          <w:szCs w:val="20"/>
        </w:rPr>
        <w:t xml:space="preserve">Viso dalyvauta 157 kartus.  </w:t>
      </w:r>
      <w:r w:rsidR="0059041C">
        <w:rPr>
          <w:rFonts w:asciiTheme="majorHAnsi" w:eastAsia="Times New Roman" w:hAnsiTheme="majorHAnsi" w:cstheme="majorHAnsi"/>
          <w:sz w:val="20"/>
          <w:szCs w:val="20"/>
        </w:rPr>
        <w:t>Metų pabaigoje</w:t>
      </w:r>
      <w:r w:rsidRPr="00F248C2">
        <w:rPr>
          <w:rFonts w:asciiTheme="majorHAnsi" w:hAnsiTheme="majorHAnsi" w:cstheme="majorHAnsi"/>
          <w:sz w:val="20"/>
          <w:szCs w:val="20"/>
        </w:rPr>
        <w:t xml:space="preserve"> darbuotojai buvo kviečiami įvertinti mokymus pagal du kriterijus: profesinių poreikių tenkinimo ir įgytų žinių </w:t>
      </w:r>
      <w:r>
        <w:rPr>
          <w:rFonts w:asciiTheme="majorHAnsi" w:hAnsiTheme="majorHAnsi" w:cstheme="majorHAnsi"/>
          <w:sz w:val="20"/>
          <w:szCs w:val="20"/>
        </w:rPr>
        <w:t>pri</w:t>
      </w:r>
      <w:r w:rsidRPr="00F248C2">
        <w:rPr>
          <w:rFonts w:asciiTheme="majorHAnsi" w:hAnsiTheme="majorHAnsi" w:cstheme="majorHAnsi"/>
          <w:sz w:val="20"/>
          <w:szCs w:val="20"/>
        </w:rPr>
        <w:t xml:space="preserve">taikymo praktikoje. </w:t>
      </w:r>
      <w:r>
        <w:rPr>
          <w:rFonts w:asciiTheme="majorHAnsi" w:hAnsiTheme="majorHAnsi" w:cstheme="majorHAnsi"/>
          <w:sz w:val="20"/>
          <w:szCs w:val="20"/>
        </w:rPr>
        <w:t>P</w:t>
      </w:r>
      <w:r w:rsidRPr="00F248C2">
        <w:rPr>
          <w:rFonts w:asciiTheme="majorHAnsi" w:hAnsiTheme="majorHAnsi" w:cstheme="majorHAnsi"/>
          <w:sz w:val="20"/>
          <w:szCs w:val="20"/>
        </w:rPr>
        <w:t xml:space="preserve">rofesinių poreikių patenkinimo rodikliui </w:t>
      </w:r>
      <w:r>
        <w:rPr>
          <w:rFonts w:asciiTheme="majorHAnsi" w:hAnsiTheme="majorHAnsi" w:cstheme="majorHAnsi"/>
          <w:sz w:val="20"/>
          <w:szCs w:val="20"/>
        </w:rPr>
        <w:t>išreikšti naudojami teiginiai</w:t>
      </w:r>
      <w:r w:rsidRPr="00F248C2">
        <w:rPr>
          <w:rFonts w:asciiTheme="majorHAnsi" w:hAnsiTheme="majorHAnsi" w:cstheme="majorHAnsi"/>
          <w:sz w:val="20"/>
          <w:szCs w:val="20"/>
        </w:rPr>
        <w:t xml:space="preserve"> yra „Mokymai patenkino mano profesinius poreikius“, „Mokymai nepatenkino mano profesinių poreikių“, „Mokymai vidutiniškai patenkino mano profesinius poreikius“. </w:t>
      </w:r>
      <w:r>
        <w:rPr>
          <w:rFonts w:asciiTheme="majorHAnsi" w:hAnsiTheme="majorHAnsi" w:cstheme="majorHAnsi"/>
          <w:sz w:val="20"/>
          <w:szCs w:val="20"/>
        </w:rPr>
        <w:t>Į</w:t>
      </w:r>
      <w:r w:rsidRPr="00F248C2">
        <w:rPr>
          <w:rFonts w:asciiTheme="majorHAnsi" w:hAnsiTheme="majorHAnsi" w:cstheme="majorHAnsi"/>
          <w:sz w:val="20"/>
          <w:szCs w:val="20"/>
        </w:rPr>
        <w:t xml:space="preserve">gytų žinių panaudojimui profesinėje veikloje rodikliui </w:t>
      </w:r>
      <w:r>
        <w:rPr>
          <w:rFonts w:asciiTheme="majorHAnsi" w:hAnsiTheme="majorHAnsi" w:cstheme="majorHAnsi"/>
          <w:sz w:val="20"/>
          <w:szCs w:val="20"/>
        </w:rPr>
        <w:t>išreikšti naudojami teiginiai</w:t>
      </w:r>
      <w:r w:rsidRPr="00F248C2">
        <w:rPr>
          <w:rFonts w:asciiTheme="majorHAnsi" w:hAnsiTheme="majorHAnsi" w:cstheme="majorHAnsi"/>
          <w:sz w:val="20"/>
          <w:szCs w:val="20"/>
        </w:rPr>
        <w:t xml:space="preserve"> yra „Mokymuose įgytas žinias prita</w:t>
      </w:r>
      <w:r>
        <w:rPr>
          <w:rFonts w:asciiTheme="majorHAnsi" w:hAnsiTheme="majorHAnsi" w:cstheme="majorHAnsi"/>
          <w:sz w:val="20"/>
          <w:szCs w:val="20"/>
        </w:rPr>
        <w:t>ikiau</w:t>
      </w:r>
      <w:r w:rsidRPr="00F248C2">
        <w:rPr>
          <w:rFonts w:asciiTheme="majorHAnsi" w:hAnsiTheme="majorHAnsi" w:cstheme="majorHAnsi"/>
          <w:sz w:val="20"/>
          <w:szCs w:val="20"/>
        </w:rPr>
        <w:t xml:space="preserve"> savo profesinėje veikloje“, „Mokymuose įgytų žinių nepritaik</w:t>
      </w:r>
      <w:r>
        <w:rPr>
          <w:rFonts w:asciiTheme="majorHAnsi" w:hAnsiTheme="majorHAnsi" w:cstheme="majorHAnsi"/>
          <w:sz w:val="20"/>
          <w:szCs w:val="20"/>
        </w:rPr>
        <w:t>iau</w:t>
      </w:r>
      <w:r w:rsidRPr="00F248C2">
        <w:rPr>
          <w:rFonts w:asciiTheme="majorHAnsi" w:hAnsiTheme="majorHAnsi" w:cstheme="majorHAnsi"/>
          <w:sz w:val="20"/>
          <w:szCs w:val="20"/>
        </w:rPr>
        <w:t xml:space="preserve"> savo profesinėje veikloje“ ir „Mokymuose įgytas žinias iš dalies pritaik</w:t>
      </w:r>
      <w:r>
        <w:rPr>
          <w:rFonts w:asciiTheme="majorHAnsi" w:hAnsiTheme="majorHAnsi" w:cstheme="majorHAnsi"/>
          <w:sz w:val="20"/>
          <w:szCs w:val="20"/>
        </w:rPr>
        <w:t>iau</w:t>
      </w:r>
      <w:r w:rsidRPr="00F248C2">
        <w:rPr>
          <w:rFonts w:asciiTheme="majorHAnsi" w:hAnsiTheme="majorHAnsi" w:cstheme="majorHAnsi"/>
          <w:sz w:val="20"/>
          <w:szCs w:val="20"/>
        </w:rPr>
        <w:t xml:space="preserve"> savo profesinėje veikloje“. </w:t>
      </w:r>
    </w:p>
    <w:p w14:paraId="2D8F9F62" w14:textId="77777777" w:rsidR="00813B63" w:rsidRPr="00F248C2" w:rsidRDefault="00813B63" w:rsidP="00813B63">
      <w:pPr>
        <w:jc w:val="both"/>
        <w:rPr>
          <w:rFonts w:asciiTheme="majorHAnsi" w:hAnsiTheme="majorHAnsi" w:cstheme="majorHAnsi"/>
          <w:i/>
          <w:iCs/>
          <w:sz w:val="20"/>
          <w:szCs w:val="20"/>
        </w:rPr>
      </w:pPr>
    </w:p>
    <w:p w14:paraId="79E23BA8" w14:textId="77777777" w:rsidR="00813B63" w:rsidRPr="00F248C2" w:rsidRDefault="00813B63" w:rsidP="00813B63">
      <w:pPr>
        <w:jc w:val="both"/>
        <w:rPr>
          <w:rFonts w:asciiTheme="majorHAnsi" w:hAnsiTheme="majorHAnsi" w:cstheme="majorHAnsi"/>
          <w:i/>
          <w:iCs/>
          <w:sz w:val="20"/>
          <w:szCs w:val="20"/>
        </w:rPr>
      </w:pPr>
      <w:r>
        <w:rPr>
          <w:rFonts w:asciiTheme="majorHAnsi" w:hAnsiTheme="majorHAnsi" w:cstheme="majorHAnsi"/>
          <w:i/>
          <w:iCs/>
          <w:sz w:val="20"/>
          <w:szCs w:val="20"/>
        </w:rPr>
        <w:t>1</w:t>
      </w:r>
      <w:r w:rsidRPr="00F248C2">
        <w:rPr>
          <w:rFonts w:asciiTheme="majorHAnsi" w:hAnsiTheme="majorHAnsi" w:cstheme="majorHAnsi"/>
          <w:i/>
          <w:iCs/>
          <w:sz w:val="20"/>
          <w:szCs w:val="20"/>
        </w:rPr>
        <w:t xml:space="preserve"> pav. </w:t>
      </w:r>
    </w:p>
    <w:p w14:paraId="77178783" w14:textId="663BD60C" w:rsidR="00813B63" w:rsidRPr="00F248C2" w:rsidRDefault="00094B55" w:rsidP="00813B63">
      <w:pPr>
        <w:jc w:val="both"/>
        <w:rPr>
          <w:rFonts w:asciiTheme="majorHAnsi" w:hAnsiTheme="majorHAnsi" w:cstheme="majorHAnsi"/>
          <w:sz w:val="20"/>
          <w:szCs w:val="20"/>
        </w:rPr>
      </w:pPr>
      <w:r>
        <w:rPr>
          <w:noProof/>
          <w14:ligatures w14:val="standardContextual"/>
        </w:rPr>
        <w:drawing>
          <wp:inline distT="0" distB="0" distL="0" distR="0" wp14:anchorId="208F8698" wp14:editId="59B37EE1">
            <wp:extent cx="6120130" cy="2130950"/>
            <wp:effectExtent l="0" t="0" r="13970" b="3175"/>
            <wp:docPr id="282120156" name="Diagrama 1">
              <a:extLst xmlns:a="http://schemas.openxmlformats.org/drawingml/2006/main">
                <a:ext uri="{FF2B5EF4-FFF2-40B4-BE49-F238E27FC236}">
                  <a16:creationId xmlns:a16="http://schemas.microsoft.com/office/drawing/2014/main" id="{5B9BBC84-10B0-2C4E-A783-6EB7B76838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CB6AF57" w14:textId="77777777" w:rsidR="00813B63" w:rsidRPr="00F248C2" w:rsidRDefault="00813B63" w:rsidP="00813B63">
      <w:pPr>
        <w:jc w:val="both"/>
        <w:rPr>
          <w:rFonts w:asciiTheme="majorHAnsi" w:hAnsiTheme="majorHAnsi" w:cstheme="majorHAnsi"/>
          <w:sz w:val="20"/>
          <w:szCs w:val="20"/>
        </w:rPr>
      </w:pPr>
    </w:p>
    <w:p w14:paraId="35F5AED7" w14:textId="77777777" w:rsidR="00A42BEE" w:rsidRPr="00094B55" w:rsidRDefault="00A42BEE" w:rsidP="00A42BEE">
      <w:pPr>
        <w:jc w:val="both"/>
        <w:rPr>
          <w:rFonts w:asciiTheme="majorHAnsi" w:hAnsiTheme="majorHAnsi" w:cstheme="majorHAnsi"/>
          <w:sz w:val="20"/>
          <w:szCs w:val="20"/>
        </w:rPr>
      </w:pPr>
      <w:r w:rsidRPr="00F248C2">
        <w:rPr>
          <w:rFonts w:asciiTheme="majorHAnsi" w:eastAsia="Times New Roman" w:hAnsiTheme="majorHAnsi" w:cstheme="majorHAnsi"/>
          <w:sz w:val="20"/>
          <w:szCs w:val="20"/>
        </w:rPr>
        <w:t xml:space="preserve">Kaip matoma 1 paveikslėlyje, </w:t>
      </w:r>
      <w:r>
        <w:rPr>
          <w:rFonts w:asciiTheme="majorHAnsi" w:eastAsia="Times New Roman" w:hAnsiTheme="majorHAnsi" w:cstheme="majorHAnsi"/>
          <w:sz w:val="20"/>
          <w:szCs w:val="20"/>
        </w:rPr>
        <w:t>2025 m. 42</w:t>
      </w:r>
      <w:r w:rsidRPr="00094B55">
        <w:rPr>
          <w:rFonts w:asciiTheme="majorHAnsi" w:eastAsia="Times New Roman" w:hAnsiTheme="majorHAnsi" w:cstheme="majorHAnsi"/>
          <w:sz w:val="20"/>
          <w:szCs w:val="20"/>
        </w:rPr>
        <w:t xml:space="preserve"> proc. dalyvavusių apklausoje atsakė, kad mokymai patenkino profesinius poreikius, apie </w:t>
      </w:r>
      <w:r>
        <w:rPr>
          <w:rFonts w:asciiTheme="majorHAnsi" w:eastAsia="Times New Roman" w:hAnsiTheme="majorHAnsi" w:cstheme="majorHAnsi"/>
          <w:sz w:val="20"/>
          <w:szCs w:val="20"/>
        </w:rPr>
        <w:t>8</w:t>
      </w:r>
      <w:r w:rsidRPr="00094B55">
        <w:rPr>
          <w:rFonts w:asciiTheme="majorHAnsi" w:eastAsia="Times New Roman" w:hAnsiTheme="majorHAnsi" w:cstheme="majorHAnsi"/>
          <w:sz w:val="20"/>
          <w:szCs w:val="20"/>
        </w:rPr>
        <w:t xml:space="preserve"> proc. teigia, kad mokymai vidutiniškai patenkino jų profesinius poreikius, </w:t>
      </w:r>
      <w:r>
        <w:rPr>
          <w:rFonts w:asciiTheme="majorHAnsi" w:hAnsiTheme="majorHAnsi" w:cstheme="majorHAnsi"/>
          <w:sz w:val="20"/>
          <w:szCs w:val="20"/>
        </w:rPr>
        <w:t xml:space="preserve">26 </w:t>
      </w:r>
      <w:r w:rsidRPr="00094B55">
        <w:rPr>
          <w:rFonts w:asciiTheme="majorHAnsi" w:hAnsiTheme="majorHAnsi" w:cstheme="majorHAnsi"/>
          <w:sz w:val="20"/>
          <w:szCs w:val="20"/>
        </w:rPr>
        <w:t>proc. mokymuose dalyvavusių darbuotojų mokymuose įgytas žinias pritai</w:t>
      </w:r>
      <w:r>
        <w:rPr>
          <w:rFonts w:asciiTheme="majorHAnsi" w:hAnsiTheme="majorHAnsi" w:cstheme="majorHAnsi"/>
          <w:sz w:val="20"/>
          <w:szCs w:val="20"/>
        </w:rPr>
        <w:t>kė</w:t>
      </w:r>
      <w:r w:rsidRPr="00094B55">
        <w:rPr>
          <w:rFonts w:asciiTheme="majorHAnsi" w:hAnsiTheme="majorHAnsi" w:cstheme="majorHAnsi"/>
          <w:sz w:val="20"/>
          <w:szCs w:val="20"/>
        </w:rPr>
        <w:t xml:space="preserve"> savo profesinėje veikloje</w:t>
      </w:r>
      <w:r>
        <w:rPr>
          <w:rFonts w:asciiTheme="majorHAnsi" w:hAnsiTheme="majorHAnsi" w:cstheme="majorHAnsi"/>
          <w:sz w:val="20"/>
          <w:szCs w:val="20"/>
        </w:rPr>
        <w:t xml:space="preserve"> ir 24</w:t>
      </w:r>
      <w:r w:rsidRPr="00094B55">
        <w:rPr>
          <w:rFonts w:asciiTheme="majorHAnsi" w:hAnsiTheme="majorHAnsi" w:cstheme="majorHAnsi"/>
          <w:sz w:val="20"/>
          <w:szCs w:val="20"/>
        </w:rPr>
        <w:t xml:space="preserve"> proc. pritaik</w:t>
      </w:r>
      <w:r>
        <w:rPr>
          <w:rFonts w:asciiTheme="majorHAnsi" w:hAnsiTheme="majorHAnsi" w:cstheme="majorHAnsi"/>
          <w:sz w:val="20"/>
          <w:szCs w:val="20"/>
        </w:rPr>
        <w:t>ė</w:t>
      </w:r>
      <w:r w:rsidRPr="00094B55">
        <w:rPr>
          <w:rFonts w:asciiTheme="majorHAnsi" w:hAnsiTheme="majorHAnsi" w:cstheme="majorHAnsi"/>
          <w:sz w:val="20"/>
          <w:szCs w:val="20"/>
        </w:rPr>
        <w:t xml:space="preserve"> dalinai</w:t>
      </w:r>
      <w:r>
        <w:rPr>
          <w:rFonts w:asciiTheme="majorHAnsi" w:hAnsiTheme="majorHAnsi" w:cstheme="majorHAnsi"/>
          <w:sz w:val="20"/>
          <w:szCs w:val="20"/>
        </w:rPr>
        <w:t xml:space="preserve">. </w:t>
      </w:r>
    </w:p>
    <w:p w14:paraId="2D413EA8" w14:textId="77777777" w:rsidR="00A42BEE" w:rsidRPr="00F248C2" w:rsidRDefault="00A42BEE" w:rsidP="00A42BEE">
      <w:pPr>
        <w:jc w:val="both"/>
        <w:rPr>
          <w:rFonts w:asciiTheme="majorHAnsi" w:hAnsiTheme="majorHAnsi" w:cstheme="majorHAnsi"/>
          <w:sz w:val="20"/>
          <w:szCs w:val="20"/>
        </w:rPr>
      </w:pPr>
      <w:r w:rsidRPr="00094B55">
        <w:rPr>
          <w:rFonts w:asciiTheme="majorHAnsi" w:hAnsiTheme="majorHAnsi" w:cstheme="majorHAnsi"/>
          <w:sz w:val="20"/>
          <w:szCs w:val="20"/>
        </w:rPr>
        <w:t xml:space="preserve">Gautus rezultatus </w:t>
      </w:r>
      <w:r>
        <w:rPr>
          <w:rFonts w:asciiTheme="majorHAnsi" w:hAnsiTheme="majorHAnsi" w:cstheme="majorHAnsi"/>
          <w:sz w:val="20"/>
          <w:szCs w:val="20"/>
        </w:rPr>
        <w:t xml:space="preserve">tik dalinai </w:t>
      </w:r>
      <w:r w:rsidRPr="00094B55">
        <w:rPr>
          <w:rFonts w:asciiTheme="majorHAnsi" w:hAnsiTheme="majorHAnsi" w:cstheme="majorHAnsi"/>
          <w:sz w:val="20"/>
          <w:szCs w:val="20"/>
        </w:rPr>
        <w:t>galima palyginti su praėjusių metų rezultatais</w:t>
      </w:r>
      <w:r>
        <w:rPr>
          <w:rFonts w:asciiTheme="majorHAnsi" w:hAnsiTheme="majorHAnsi" w:cstheme="majorHAnsi"/>
          <w:sz w:val="20"/>
          <w:szCs w:val="20"/>
        </w:rPr>
        <w:t xml:space="preserve">: 2024 metais </w:t>
      </w:r>
      <w:r>
        <w:rPr>
          <w:rFonts w:asciiTheme="majorHAnsi" w:eastAsia="Times New Roman" w:hAnsiTheme="majorHAnsi" w:cstheme="majorHAnsi"/>
          <w:sz w:val="20"/>
          <w:szCs w:val="20"/>
        </w:rPr>
        <w:t>87,8</w:t>
      </w:r>
      <w:r w:rsidRPr="00094B55">
        <w:rPr>
          <w:rFonts w:asciiTheme="majorHAnsi" w:eastAsia="Times New Roman" w:hAnsiTheme="majorHAnsi" w:cstheme="majorHAnsi"/>
          <w:sz w:val="20"/>
          <w:szCs w:val="20"/>
        </w:rPr>
        <w:t xml:space="preserve"> proc. dalyvavusių apklausoje atsakė, kad mokymai patenkino profesinius poreikius, apie </w:t>
      </w:r>
      <w:r>
        <w:rPr>
          <w:rFonts w:asciiTheme="majorHAnsi" w:eastAsia="Times New Roman" w:hAnsiTheme="majorHAnsi" w:cstheme="majorHAnsi"/>
          <w:sz w:val="20"/>
          <w:szCs w:val="20"/>
        </w:rPr>
        <w:t>9</w:t>
      </w:r>
      <w:r w:rsidRPr="00094B55">
        <w:rPr>
          <w:rFonts w:asciiTheme="majorHAnsi" w:eastAsia="Times New Roman" w:hAnsiTheme="majorHAnsi" w:cstheme="majorHAnsi"/>
          <w:sz w:val="20"/>
          <w:szCs w:val="20"/>
        </w:rPr>
        <w:t xml:space="preserve"> proc. teigia, kad mokymai vidutiniškai patenkino jų profesinius poreikius</w:t>
      </w:r>
      <w:r w:rsidRPr="00094B55">
        <w:rPr>
          <w:rFonts w:asciiTheme="majorHAnsi" w:hAnsiTheme="majorHAnsi" w:cstheme="majorHAnsi"/>
          <w:sz w:val="20"/>
          <w:szCs w:val="20"/>
        </w:rPr>
        <w:t xml:space="preserve">. </w:t>
      </w:r>
      <w:r>
        <w:rPr>
          <w:rFonts w:asciiTheme="majorHAnsi" w:hAnsiTheme="majorHAnsi" w:cstheme="majorHAnsi"/>
          <w:sz w:val="20"/>
          <w:szCs w:val="20"/>
        </w:rPr>
        <w:t xml:space="preserve">Rodiklio dalies apie žinių pritaikymą praktinėje veikloje palyginti nėra galimybės dėl to, kad jis buvo pakeistas. Iki 2025 m. žinių pritaikymas praktikoje buvo matuojamas hipotetiškai, kai personalas iškart po mokymų vertindavo kiek žinių panaudos. Nuo 2025 m. vertinimas atliekamas metų pabaigoje ir darbuotojai gali objektyviau vertinti jau įvykusį faktą. Pilnas šio rezultato palyginimas bus galimas skaičiuojant 2026 m. rezultatus </w:t>
      </w:r>
    </w:p>
    <w:p w14:paraId="67717518" w14:textId="631CE310" w:rsidR="00813B63" w:rsidRDefault="00813B63" w:rsidP="00813B63">
      <w:pPr>
        <w:jc w:val="both"/>
        <w:rPr>
          <w:rFonts w:asciiTheme="majorHAnsi" w:eastAsia="Times New Roman" w:hAnsiTheme="majorHAnsi" w:cstheme="majorHAnsi"/>
          <w:sz w:val="20"/>
          <w:szCs w:val="20"/>
        </w:rPr>
      </w:pPr>
      <w:r w:rsidRPr="00F248C2">
        <w:rPr>
          <w:rFonts w:asciiTheme="majorHAnsi" w:eastAsia="Times New Roman" w:hAnsiTheme="majorHAnsi" w:cstheme="majorHAnsi"/>
          <w:sz w:val="20"/>
          <w:szCs w:val="20"/>
        </w:rPr>
        <w:t>202</w:t>
      </w:r>
      <w:r w:rsidR="00094B55">
        <w:rPr>
          <w:rFonts w:asciiTheme="majorHAnsi" w:eastAsia="Times New Roman" w:hAnsiTheme="majorHAnsi" w:cstheme="majorHAnsi"/>
          <w:sz w:val="20"/>
          <w:szCs w:val="20"/>
        </w:rPr>
        <w:t>5</w:t>
      </w:r>
      <w:r w:rsidRPr="00F248C2">
        <w:rPr>
          <w:rFonts w:asciiTheme="majorHAnsi" w:eastAsia="Times New Roman" w:hAnsiTheme="majorHAnsi" w:cstheme="majorHAnsi"/>
          <w:sz w:val="20"/>
          <w:szCs w:val="20"/>
        </w:rPr>
        <w:t xml:space="preserve"> m. buvo organizuota 11 vidinių mokymų </w:t>
      </w:r>
      <w:r w:rsidR="00094B55">
        <w:rPr>
          <w:rFonts w:asciiTheme="majorHAnsi" w:eastAsia="Times New Roman" w:hAnsiTheme="majorHAnsi" w:cstheme="majorHAnsi"/>
          <w:sz w:val="20"/>
          <w:szCs w:val="20"/>
        </w:rPr>
        <w:t xml:space="preserve">(taip pat kaip 2024 m.) </w:t>
      </w:r>
      <w:r w:rsidRPr="00F248C2">
        <w:rPr>
          <w:rFonts w:asciiTheme="majorHAnsi" w:eastAsia="Times New Roman" w:hAnsiTheme="majorHAnsi" w:cstheme="majorHAnsi"/>
          <w:sz w:val="20"/>
          <w:szCs w:val="20"/>
        </w:rPr>
        <w:t>atsižvelgiant į aktualias temas ir darbe kylančius klausimus</w:t>
      </w:r>
      <w:r w:rsidR="000322F9">
        <w:rPr>
          <w:rFonts w:asciiTheme="majorHAnsi" w:eastAsia="Times New Roman" w:hAnsiTheme="majorHAnsi" w:cstheme="majorHAnsi"/>
          <w:sz w:val="20"/>
          <w:szCs w:val="20"/>
        </w:rPr>
        <w:t xml:space="preserve">. </w:t>
      </w:r>
      <w:r w:rsidRPr="00F248C2">
        <w:rPr>
          <w:rFonts w:asciiTheme="majorHAnsi" w:eastAsia="Times New Roman" w:hAnsiTheme="majorHAnsi" w:cstheme="majorHAnsi"/>
          <w:sz w:val="20"/>
          <w:szCs w:val="20"/>
        </w:rPr>
        <w:t>Juose galėjo dalyvauti visi norintys darbuotojai</w:t>
      </w:r>
      <w:r w:rsidR="00AC050B">
        <w:rPr>
          <w:rFonts w:asciiTheme="majorHAnsi" w:eastAsia="Times New Roman" w:hAnsiTheme="majorHAnsi" w:cstheme="majorHAnsi"/>
          <w:sz w:val="20"/>
          <w:szCs w:val="20"/>
        </w:rPr>
        <w:t xml:space="preserve">, kurie žodžiu kalbėdami apie pasitenkinimą mokymais ir jų naudą išsakė labai palankius vertinimus, - kad mokymai buvo apie tai ko reikia kasdieniniame darbe, apie tai kas realiai vyksta darbo vietoje, apie darbą su konkrečiais atvejais. </w:t>
      </w:r>
    </w:p>
    <w:p w14:paraId="36E51711" w14:textId="77777777" w:rsidR="00D55253" w:rsidRDefault="00D55253" w:rsidP="00D55253">
      <w:pPr>
        <w:rPr>
          <w:rFonts w:asciiTheme="majorHAnsi" w:hAnsiTheme="majorHAnsi" w:cstheme="majorHAnsi"/>
          <w:b/>
          <w:bCs/>
          <w:sz w:val="20"/>
          <w:szCs w:val="20"/>
        </w:rPr>
      </w:pPr>
      <w:r w:rsidRPr="00C95B33">
        <w:rPr>
          <w:rFonts w:asciiTheme="majorHAnsi" w:hAnsiTheme="majorHAnsi" w:cstheme="majorHAnsi"/>
          <w:b/>
          <w:bCs/>
          <w:sz w:val="20"/>
          <w:szCs w:val="20"/>
        </w:rPr>
        <w:t>Išvados:</w:t>
      </w:r>
    </w:p>
    <w:p w14:paraId="451F1104" w14:textId="78DE7CDC" w:rsidR="00B45633" w:rsidRPr="00B45633" w:rsidRDefault="00AC050B" w:rsidP="00A42BEE">
      <w:pPr>
        <w:pStyle w:val="ListParagraph"/>
        <w:numPr>
          <w:ilvl w:val="0"/>
          <w:numId w:val="2"/>
        </w:numPr>
        <w:ind w:left="284"/>
        <w:jc w:val="both"/>
        <w:rPr>
          <w:rFonts w:asciiTheme="majorHAnsi" w:hAnsiTheme="majorHAnsi" w:cstheme="majorHAnsi"/>
          <w:sz w:val="20"/>
          <w:szCs w:val="20"/>
        </w:rPr>
      </w:pPr>
      <w:r>
        <w:rPr>
          <w:rFonts w:asciiTheme="majorHAnsi" w:hAnsiTheme="majorHAnsi" w:cstheme="majorHAnsi"/>
          <w:sz w:val="20"/>
          <w:szCs w:val="20"/>
        </w:rPr>
        <w:t>Atnaujinta</w:t>
      </w:r>
      <w:r w:rsidR="00B45633" w:rsidRPr="00B45633">
        <w:rPr>
          <w:rFonts w:asciiTheme="majorHAnsi" w:hAnsiTheme="majorHAnsi" w:cstheme="majorHAnsi"/>
          <w:sz w:val="20"/>
          <w:szCs w:val="20"/>
        </w:rPr>
        <w:t xml:space="preserve"> vertinimo tvarka (vertinimas metų pabaigoje, o ne iškart po mokymų) yra metodologiškai tvirtesnė, nes matuoja faktinį, o ne prognozuojamą pritaikymą, todėl 2025 m. duomenys turėtų būti naudojami kaip atskaitos taškas lyginant su 2026 m. rezultatais.</w:t>
      </w:r>
    </w:p>
    <w:p w14:paraId="2A77445A" w14:textId="7CDB54C8" w:rsidR="00813B63" w:rsidRPr="00A42BEE" w:rsidRDefault="00B45633" w:rsidP="00266CDF">
      <w:pPr>
        <w:pStyle w:val="ListParagraph"/>
        <w:numPr>
          <w:ilvl w:val="0"/>
          <w:numId w:val="2"/>
        </w:numPr>
        <w:ind w:left="284" w:hanging="284"/>
        <w:jc w:val="both"/>
        <w:rPr>
          <w:rFonts w:asciiTheme="majorHAnsi" w:eastAsia="Times New Roman" w:hAnsiTheme="majorHAnsi" w:cstheme="majorHAnsi"/>
          <w:sz w:val="20"/>
          <w:szCs w:val="20"/>
        </w:rPr>
      </w:pPr>
      <w:r w:rsidRPr="00A42BEE">
        <w:rPr>
          <w:rFonts w:asciiTheme="majorHAnsi" w:hAnsiTheme="majorHAnsi" w:cstheme="majorHAnsi"/>
          <w:sz w:val="20"/>
          <w:szCs w:val="20"/>
        </w:rPr>
        <w:t>Bendras mokymuose dalyvavusių darbuotojų skaičius rodo aukštą personalo įsitraukimą į mokymosi procesą, tačiau šis aukštas dalyvavimo rodiklis kol kas nekoreliuoja su aukštu pasitenkinimo ar žinių pritaikymo rodikliu. Tai gali reikšti, kad mokymų kiekybė (157 dalyvavimo atvejai) šiuo metu lenkia jų kokybę ar atitikimą realiems darbuotojų poreikiams – šią prielaidą verta</w:t>
      </w:r>
      <w:r w:rsidR="00693578">
        <w:rPr>
          <w:rFonts w:asciiTheme="majorHAnsi" w:hAnsiTheme="majorHAnsi" w:cstheme="majorHAnsi"/>
          <w:sz w:val="20"/>
          <w:szCs w:val="20"/>
        </w:rPr>
        <w:t xml:space="preserve"> kitąmet</w:t>
      </w:r>
      <w:r w:rsidRPr="00A42BEE">
        <w:rPr>
          <w:rFonts w:asciiTheme="majorHAnsi" w:hAnsiTheme="majorHAnsi" w:cstheme="majorHAnsi"/>
          <w:sz w:val="20"/>
          <w:szCs w:val="20"/>
        </w:rPr>
        <w:t xml:space="preserve"> patikrinti kokybiniu būdu (pvz., trumpu darbuotojų apklausos komentaru).</w:t>
      </w:r>
      <w:r w:rsidR="00813B63" w:rsidRPr="00A42BEE">
        <w:rPr>
          <w:rFonts w:asciiTheme="majorHAnsi" w:eastAsia="Times New Roman" w:hAnsiTheme="majorHAnsi" w:cstheme="majorHAnsi"/>
          <w:sz w:val="20"/>
          <w:szCs w:val="20"/>
        </w:rPr>
        <w:br w:type="page"/>
      </w:r>
    </w:p>
    <w:p w14:paraId="1242DD21" w14:textId="08CA9299" w:rsidR="00D17AA0" w:rsidRPr="00F248C2" w:rsidRDefault="00D17AA0" w:rsidP="00D17AA0">
      <w:pPr>
        <w:rPr>
          <w:rFonts w:asciiTheme="majorHAnsi" w:eastAsia="Times New Roman" w:hAnsiTheme="majorHAnsi" w:cstheme="majorHAnsi"/>
          <w:b/>
          <w:bCs/>
        </w:rPr>
      </w:pPr>
      <w:r w:rsidRPr="00F248C2">
        <w:rPr>
          <w:rFonts w:asciiTheme="majorHAnsi" w:eastAsia="Times New Roman" w:hAnsiTheme="majorHAnsi" w:cstheme="majorHAnsi"/>
          <w:b/>
          <w:bCs/>
        </w:rPr>
        <w:lastRenderedPageBreak/>
        <w:t>PASLAUGŲ GAVĖJŲ TEISIŲ SKATINIMO IR UŽTIKRINIMO KASDIENINIAME DARBE REZULTATAI</w:t>
      </w:r>
      <w:r>
        <w:rPr>
          <w:rFonts w:asciiTheme="majorHAnsi" w:eastAsia="Times New Roman" w:hAnsiTheme="majorHAnsi" w:cstheme="majorHAnsi"/>
          <w:b/>
          <w:bCs/>
        </w:rPr>
        <w:t xml:space="preserve">, 2025 metai </w:t>
      </w:r>
      <w:r w:rsidRPr="00F248C2">
        <w:rPr>
          <w:rFonts w:asciiTheme="majorHAnsi" w:eastAsia="Times New Roman" w:hAnsiTheme="majorHAnsi" w:cstheme="majorHAnsi"/>
          <w:b/>
          <w:bCs/>
        </w:rPr>
        <w:t xml:space="preserve"> </w:t>
      </w:r>
    </w:p>
    <w:p w14:paraId="2A29F489" w14:textId="77777777" w:rsidR="00D17AA0" w:rsidRPr="00F248C2" w:rsidRDefault="00D17AA0" w:rsidP="00D17AA0">
      <w:pPr>
        <w:rPr>
          <w:rFonts w:asciiTheme="majorHAnsi" w:eastAsia="Times New Roman" w:hAnsiTheme="majorHAnsi" w:cstheme="majorHAnsi"/>
          <w:b/>
          <w:bCs/>
          <w:sz w:val="16"/>
          <w:szCs w:val="16"/>
        </w:rPr>
      </w:pPr>
      <w:r w:rsidRPr="00F248C2">
        <w:rPr>
          <w:rFonts w:asciiTheme="majorHAnsi" w:eastAsia="Times New Roman" w:hAnsiTheme="majorHAnsi" w:cstheme="majorHAnsi"/>
          <w:b/>
          <w:bCs/>
          <w:sz w:val="56"/>
          <w:szCs w:val="56"/>
        </w:rPr>
        <w:t xml:space="preserve"> </w:t>
      </w:r>
    </w:p>
    <w:p w14:paraId="2696F26E" w14:textId="77777777" w:rsidR="00D17AA0" w:rsidRPr="00F248C2" w:rsidRDefault="00D17AA0" w:rsidP="00D17AA0">
      <w:pPr>
        <w:rPr>
          <w:rFonts w:asciiTheme="majorHAnsi" w:eastAsia="Times New Roman" w:hAnsiTheme="majorHAnsi" w:cstheme="majorHAnsi"/>
          <w:sz w:val="22"/>
          <w:szCs w:val="22"/>
        </w:rPr>
      </w:pPr>
      <w:r w:rsidRPr="00F248C2">
        <w:rPr>
          <w:rFonts w:asciiTheme="majorHAnsi" w:eastAsia="Times New Roman" w:hAnsiTheme="majorHAnsi" w:cstheme="majorHAnsi"/>
          <w:sz w:val="22"/>
          <w:szCs w:val="22"/>
        </w:rPr>
        <w:t>16 KRITERIJUS: Socialinių paslaugų teikėjas vertina savo veiklos efektyvumą pagal tai, kaip skatina ir praktiškai užtikrina paslaugų gavėjų teises visose organizacijos veiklos srityse.</w:t>
      </w:r>
    </w:p>
    <w:p w14:paraId="07DF2474" w14:textId="77777777" w:rsidR="00D17AA0" w:rsidRPr="00F248C2" w:rsidRDefault="00D17AA0" w:rsidP="00D17AA0">
      <w:pPr>
        <w:rPr>
          <w:rFonts w:asciiTheme="majorHAnsi" w:eastAsia="Times New Roman" w:hAnsiTheme="majorHAnsi" w:cstheme="majorHAnsi"/>
          <w:sz w:val="20"/>
          <w:szCs w:val="20"/>
        </w:rPr>
      </w:pPr>
    </w:p>
    <w:p w14:paraId="16863C5A" w14:textId="7609C8E0" w:rsidR="00D17AA0" w:rsidRDefault="00D17AA0" w:rsidP="00D17AA0">
      <w:pPr>
        <w:jc w:val="both"/>
        <w:rPr>
          <w:rFonts w:asciiTheme="majorHAnsi" w:eastAsia="Times New Roman" w:hAnsiTheme="majorHAnsi" w:cstheme="majorHAnsi"/>
          <w:i/>
          <w:iCs/>
          <w:sz w:val="20"/>
          <w:szCs w:val="20"/>
        </w:rPr>
      </w:pPr>
      <w:r w:rsidRPr="00F248C2">
        <w:rPr>
          <w:rFonts w:asciiTheme="majorHAnsi" w:eastAsia="Times New Roman" w:hAnsiTheme="majorHAnsi" w:cstheme="majorHAnsi"/>
          <w:sz w:val="20"/>
          <w:szCs w:val="20"/>
        </w:rPr>
        <w:t xml:space="preserve">Rodiklis: </w:t>
      </w:r>
      <w:r w:rsidRPr="00CF68C9">
        <w:rPr>
          <w:rFonts w:asciiTheme="majorHAnsi" w:eastAsia="Times New Roman" w:hAnsiTheme="majorHAnsi" w:cstheme="majorHAnsi"/>
          <w:i/>
          <w:iCs/>
          <w:sz w:val="20"/>
          <w:szCs w:val="20"/>
        </w:rPr>
        <w:t xml:space="preserve">Paslaugų gavėjų, teigiamai vertinusių teisės į užimtumą ir saviraišką užtikrinimą </w:t>
      </w:r>
      <w:r w:rsidR="00312E87">
        <w:rPr>
          <w:rFonts w:asciiTheme="majorHAnsi" w:eastAsia="Times New Roman" w:hAnsiTheme="majorHAnsi" w:cstheme="majorHAnsi"/>
          <w:i/>
          <w:iCs/>
          <w:sz w:val="20"/>
          <w:szCs w:val="20"/>
        </w:rPr>
        <w:t>procentinė išraiška</w:t>
      </w:r>
      <w:r w:rsidRPr="00CF68C9">
        <w:rPr>
          <w:rFonts w:asciiTheme="majorHAnsi" w:eastAsia="Times New Roman" w:hAnsiTheme="majorHAnsi" w:cstheme="majorHAnsi"/>
          <w:i/>
          <w:iCs/>
          <w:sz w:val="20"/>
          <w:szCs w:val="20"/>
        </w:rPr>
        <w:t>.</w:t>
      </w:r>
      <w:r>
        <w:rPr>
          <w:rFonts w:asciiTheme="majorHAnsi" w:eastAsia="Times New Roman" w:hAnsiTheme="majorHAnsi" w:cstheme="majorHAnsi"/>
          <w:i/>
          <w:iCs/>
          <w:sz w:val="20"/>
          <w:szCs w:val="20"/>
        </w:rPr>
        <w:t xml:space="preserve">  </w:t>
      </w:r>
    </w:p>
    <w:p w14:paraId="36C603BD" w14:textId="77777777" w:rsidR="00D17AA0" w:rsidRDefault="00D17AA0" w:rsidP="00D17AA0">
      <w:pPr>
        <w:jc w:val="both"/>
        <w:rPr>
          <w:rFonts w:asciiTheme="majorHAnsi" w:eastAsia="Times New Roman" w:hAnsiTheme="majorHAnsi" w:cstheme="majorHAnsi"/>
          <w:i/>
          <w:iCs/>
          <w:sz w:val="20"/>
          <w:szCs w:val="20"/>
        </w:rPr>
      </w:pPr>
    </w:p>
    <w:p w14:paraId="4A6D2CF0" w14:textId="54405732" w:rsidR="00D17AA0" w:rsidRPr="00686BA1" w:rsidRDefault="00D17AA0" w:rsidP="00D17AA0">
      <w:pPr>
        <w:jc w:val="both"/>
        <w:rPr>
          <w:rFonts w:asciiTheme="majorHAnsi" w:eastAsia="Times New Roman" w:hAnsiTheme="majorHAnsi" w:cstheme="majorHAnsi"/>
          <w:iCs/>
          <w:color w:val="000000" w:themeColor="text1"/>
          <w:sz w:val="20"/>
          <w:szCs w:val="20"/>
        </w:rPr>
      </w:pPr>
      <w:r w:rsidRPr="00F248C2">
        <w:rPr>
          <w:rFonts w:asciiTheme="majorHAnsi" w:eastAsia="Times New Roman" w:hAnsiTheme="majorHAnsi" w:cstheme="majorHAnsi"/>
          <w:sz w:val="20"/>
          <w:szCs w:val="20"/>
        </w:rPr>
        <w:t>Rodiklio apskaičiavimo formulė</w:t>
      </w:r>
      <w:r>
        <w:rPr>
          <w:rFonts w:asciiTheme="majorHAnsi" w:eastAsia="Times New Roman" w:hAnsiTheme="majorHAnsi" w:cstheme="majorHAnsi"/>
          <w:sz w:val="20"/>
          <w:szCs w:val="20"/>
        </w:rPr>
        <w:t>: paslaugų gavėjų</w:t>
      </w:r>
      <w:r w:rsidRPr="00F248C2">
        <w:rPr>
          <w:rFonts w:asciiTheme="majorHAnsi" w:eastAsia="Times New Roman" w:hAnsiTheme="majorHAnsi" w:cstheme="majorHAnsi"/>
          <w:sz w:val="20"/>
          <w:szCs w:val="20"/>
        </w:rPr>
        <w:t xml:space="preserve">, </w:t>
      </w:r>
      <w:r>
        <w:rPr>
          <w:rFonts w:asciiTheme="majorHAnsi" w:eastAsia="Times New Roman" w:hAnsiTheme="majorHAnsi" w:cstheme="majorHAnsi"/>
          <w:sz w:val="20"/>
          <w:szCs w:val="20"/>
        </w:rPr>
        <w:t xml:space="preserve">kurie 2025 m. </w:t>
      </w:r>
      <w:r w:rsidRPr="00F248C2">
        <w:rPr>
          <w:rFonts w:asciiTheme="majorHAnsi" w:eastAsia="Times New Roman" w:hAnsiTheme="majorHAnsi" w:cstheme="majorHAnsi"/>
          <w:sz w:val="20"/>
          <w:szCs w:val="20"/>
        </w:rPr>
        <w:t xml:space="preserve"> </w:t>
      </w:r>
      <w:r>
        <w:rPr>
          <w:rFonts w:asciiTheme="majorHAnsi" w:eastAsia="Times New Roman" w:hAnsiTheme="majorHAnsi" w:cstheme="majorHAnsi"/>
          <w:sz w:val="20"/>
          <w:szCs w:val="20"/>
        </w:rPr>
        <w:t xml:space="preserve">teigiamai </w:t>
      </w:r>
      <w:r w:rsidRPr="00F248C2">
        <w:rPr>
          <w:rFonts w:asciiTheme="majorHAnsi" w:eastAsia="Times New Roman" w:hAnsiTheme="majorHAnsi" w:cstheme="majorHAnsi"/>
          <w:sz w:val="20"/>
          <w:szCs w:val="20"/>
        </w:rPr>
        <w:t>vertina savo</w:t>
      </w:r>
      <w:r>
        <w:rPr>
          <w:rFonts w:asciiTheme="majorHAnsi" w:eastAsia="Times New Roman" w:hAnsiTheme="majorHAnsi" w:cstheme="majorHAnsi"/>
          <w:sz w:val="20"/>
          <w:szCs w:val="20"/>
        </w:rPr>
        <w:t xml:space="preserve"> galimybę naudotis</w:t>
      </w:r>
      <w:r w:rsidRPr="00F248C2">
        <w:rPr>
          <w:rFonts w:asciiTheme="majorHAnsi" w:eastAsia="Times New Roman" w:hAnsiTheme="majorHAnsi" w:cstheme="majorHAnsi"/>
          <w:sz w:val="20"/>
          <w:szCs w:val="20"/>
        </w:rPr>
        <w:t xml:space="preserve"> </w:t>
      </w:r>
      <w:r>
        <w:rPr>
          <w:rFonts w:asciiTheme="majorHAnsi" w:eastAsia="Times New Roman" w:hAnsiTheme="majorHAnsi" w:cstheme="majorHAnsi"/>
          <w:sz w:val="20"/>
          <w:szCs w:val="20"/>
        </w:rPr>
        <w:t xml:space="preserve">teise į </w:t>
      </w:r>
      <w:r w:rsidRPr="00F248C2">
        <w:rPr>
          <w:rFonts w:asciiTheme="majorHAnsi" w:eastAsia="Times New Roman" w:hAnsiTheme="majorHAnsi" w:cstheme="majorHAnsi"/>
          <w:sz w:val="20"/>
          <w:szCs w:val="20"/>
        </w:rPr>
        <w:t xml:space="preserve">užimtumą ir </w:t>
      </w:r>
      <w:r>
        <w:rPr>
          <w:rFonts w:asciiTheme="majorHAnsi" w:eastAsia="Times New Roman" w:hAnsiTheme="majorHAnsi" w:cstheme="majorHAnsi"/>
          <w:sz w:val="20"/>
          <w:szCs w:val="20"/>
        </w:rPr>
        <w:t xml:space="preserve">į </w:t>
      </w:r>
      <w:r w:rsidRPr="00F248C2">
        <w:rPr>
          <w:rFonts w:asciiTheme="majorHAnsi" w:eastAsia="Times New Roman" w:hAnsiTheme="majorHAnsi" w:cstheme="majorHAnsi"/>
          <w:sz w:val="20"/>
          <w:szCs w:val="20"/>
        </w:rPr>
        <w:t>saviraišką</w:t>
      </w:r>
      <w:r>
        <w:rPr>
          <w:rFonts w:asciiTheme="majorHAnsi" w:eastAsia="Times New Roman" w:hAnsiTheme="majorHAnsi" w:cstheme="majorHAnsi"/>
          <w:sz w:val="20"/>
          <w:szCs w:val="20"/>
        </w:rPr>
        <w:t>,</w:t>
      </w:r>
      <w:r w:rsidRPr="00F248C2">
        <w:rPr>
          <w:rFonts w:asciiTheme="majorHAnsi" w:eastAsia="Times New Roman" w:hAnsiTheme="majorHAnsi" w:cstheme="majorHAnsi"/>
          <w:sz w:val="20"/>
          <w:szCs w:val="20"/>
        </w:rPr>
        <w:t xml:space="preserve"> </w:t>
      </w:r>
      <w:r w:rsidR="00312E87">
        <w:rPr>
          <w:rFonts w:asciiTheme="majorHAnsi" w:eastAsia="Times New Roman" w:hAnsiTheme="majorHAnsi" w:cstheme="majorHAnsi"/>
          <w:sz w:val="20"/>
          <w:szCs w:val="20"/>
        </w:rPr>
        <w:t>procentas</w:t>
      </w:r>
      <w:r>
        <w:rPr>
          <w:rFonts w:asciiTheme="majorHAnsi" w:eastAsia="Times New Roman" w:hAnsiTheme="majorHAnsi" w:cstheme="majorHAnsi"/>
          <w:sz w:val="20"/>
          <w:szCs w:val="20"/>
        </w:rPr>
        <w:t xml:space="preserve"> </w:t>
      </w:r>
      <w:r w:rsidRPr="00F248C2">
        <w:rPr>
          <w:rFonts w:asciiTheme="majorHAnsi" w:eastAsia="Times New Roman" w:hAnsiTheme="majorHAnsi" w:cstheme="majorHAnsi"/>
          <w:sz w:val="20"/>
          <w:szCs w:val="20"/>
        </w:rPr>
        <w:t xml:space="preserve">nuo visų </w:t>
      </w:r>
      <w:r>
        <w:rPr>
          <w:rFonts w:asciiTheme="majorHAnsi" w:eastAsia="Times New Roman" w:hAnsiTheme="majorHAnsi" w:cstheme="majorHAnsi"/>
          <w:sz w:val="20"/>
          <w:szCs w:val="20"/>
        </w:rPr>
        <w:t xml:space="preserve">vertinusių. </w:t>
      </w:r>
      <w:r w:rsidRPr="00F248C2">
        <w:rPr>
          <w:rFonts w:asciiTheme="majorHAnsi" w:eastAsia="Times New Roman" w:hAnsiTheme="majorHAnsi" w:cstheme="majorHAnsi"/>
          <w:iCs/>
          <w:sz w:val="20"/>
          <w:szCs w:val="20"/>
        </w:rPr>
        <w:t>Rezultatai vertinami vieną kartą metų pabaigoje</w:t>
      </w:r>
      <w:r w:rsidRPr="007C2BD4">
        <w:rPr>
          <w:rFonts w:asciiTheme="majorHAnsi" w:eastAsia="Times New Roman" w:hAnsiTheme="majorHAnsi" w:cstheme="majorHAnsi"/>
          <w:iCs/>
          <w:sz w:val="20"/>
          <w:szCs w:val="20"/>
        </w:rPr>
        <w:t>.</w:t>
      </w:r>
      <w:r>
        <w:rPr>
          <w:rFonts w:asciiTheme="majorHAnsi" w:eastAsia="Times New Roman" w:hAnsiTheme="majorHAnsi" w:cstheme="majorHAnsi"/>
          <w:iCs/>
          <w:sz w:val="20"/>
          <w:szCs w:val="20"/>
        </w:rPr>
        <w:t xml:space="preserve"> </w:t>
      </w:r>
      <w:r w:rsidRPr="00F248C2">
        <w:rPr>
          <w:rFonts w:asciiTheme="majorHAnsi" w:hAnsiTheme="majorHAnsi" w:cstheme="majorHAnsi"/>
          <w:sz w:val="20"/>
          <w:szCs w:val="20"/>
        </w:rPr>
        <w:t>Kaip rezultatas, kuris parodo paslaugų gavėjų teisių skatinimą ir užtikrinimą kasdieniniame gyvenime 202</w:t>
      </w:r>
      <w:r>
        <w:rPr>
          <w:rFonts w:asciiTheme="majorHAnsi" w:hAnsiTheme="majorHAnsi" w:cstheme="majorHAnsi"/>
          <w:sz w:val="20"/>
          <w:szCs w:val="20"/>
        </w:rPr>
        <w:t>5</w:t>
      </w:r>
      <w:r w:rsidRPr="00F248C2">
        <w:rPr>
          <w:rFonts w:asciiTheme="majorHAnsi" w:hAnsiTheme="majorHAnsi" w:cstheme="majorHAnsi"/>
          <w:sz w:val="20"/>
          <w:szCs w:val="20"/>
        </w:rPr>
        <w:t xml:space="preserve"> metais yra pasirinkta teisė į užimtumą ir saviraišką. „Pasitenkinimo gyvenimo kokybe klausimyne“ šią sritį paslaugų gavėjai vertina per tris teiginius: 1. </w:t>
      </w:r>
      <w:r w:rsidRPr="00F248C2">
        <w:rPr>
          <w:rFonts w:asciiTheme="majorHAnsi" w:hAnsiTheme="majorHAnsi" w:cstheme="majorHAnsi"/>
          <w:i/>
          <w:iCs/>
          <w:sz w:val="20"/>
          <w:szCs w:val="20"/>
        </w:rPr>
        <w:t>Turiu galimybę dalyvauti Kauno kartų namų organizuojamose veikose</w:t>
      </w:r>
      <w:r w:rsidRPr="00F248C2">
        <w:rPr>
          <w:rFonts w:asciiTheme="majorHAnsi" w:hAnsiTheme="majorHAnsi" w:cstheme="majorHAnsi"/>
          <w:sz w:val="20"/>
          <w:szCs w:val="20"/>
        </w:rPr>
        <w:t xml:space="preserve">; 2. </w:t>
      </w:r>
      <w:r w:rsidRPr="00F248C2">
        <w:rPr>
          <w:rFonts w:asciiTheme="majorHAnsi" w:hAnsiTheme="majorHAnsi" w:cstheme="majorHAnsi"/>
          <w:i/>
          <w:iCs/>
          <w:sz w:val="20"/>
          <w:szCs w:val="20"/>
        </w:rPr>
        <w:t>Turiu galimybę leisti laisvalaikį kaip noriu</w:t>
      </w:r>
      <w:r w:rsidRPr="00F248C2">
        <w:rPr>
          <w:rFonts w:asciiTheme="majorHAnsi" w:hAnsiTheme="majorHAnsi" w:cstheme="majorHAnsi"/>
          <w:sz w:val="20"/>
          <w:szCs w:val="20"/>
        </w:rPr>
        <w:t xml:space="preserve">; 3. </w:t>
      </w:r>
      <w:r w:rsidRPr="00F248C2">
        <w:rPr>
          <w:rFonts w:asciiTheme="majorHAnsi" w:hAnsiTheme="majorHAnsi" w:cstheme="majorHAnsi"/>
          <w:i/>
          <w:iCs/>
          <w:sz w:val="20"/>
          <w:szCs w:val="20"/>
        </w:rPr>
        <w:t>Aš patenkinta (-as) siūlomomis užimtumo veiklomis</w:t>
      </w:r>
      <w:r w:rsidRPr="00F248C2">
        <w:rPr>
          <w:rFonts w:asciiTheme="majorHAnsi" w:hAnsiTheme="majorHAnsi" w:cstheme="majorHAnsi"/>
          <w:sz w:val="20"/>
          <w:szCs w:val="20"/>
        </w:rPr>
        <w:t xml:space="preserve">. Galimi atsakymai yra „nesutinku“, „nei sutinku, nei nesutinku“ ir „sutinku“. </w:t>
      </w:r>
    </w:p>
    <w:p w14:paraId="204259D8" w14:textId="77777777" w:rsidR="00D17AA0" w:rsidRDefault="00D17AA0" w:rsidP="00D17AA0">
      <w:pPr>
        <w:jc w:val="both"/>
        <w:rPr>
          <w:rFonts w:asciiTheme="majorHAnsi" w:eastAsia="Times New Roman" w:hAnsiTheme="majorHAnsi" w:cstheme="majorHAnsi"/>
          <w:i/>
          <w:color w:val="000000" w:themeColor="text1"/>
          <w:sz w:val="20"/>
          <w:szCs w:val="20"/>
        </w:rPr>
      </w:pPr>
    </w:p>
    <w:p w14:paraId="5961DAE3" w14:textId="3843E8AF" w:rsidR="00D17AA0" w:rsidRPr="00D17AA0" w:rsidRDefault="00D17AA0" w:rsidP="00D17AA0">
      <w:pPr>
        <w:jc w:val="both"/>
        <w:rPr>
          <w:rFonts w:asciiTheme="majorHAnsi" w:eastAsia="Times New Roman" w:hAnsiTheme="majorHAnsi" w:cstheme="majorHAnsi"/>
          <w:i/>
          <w:color w:val="000000" w:themeColor="text1"/>
          <w:sz w:val="20"/>
          <w:szCs w:val="20"/>
        </w:rPr>
      </w:pPr>
      <w:r w:rsidRPr="00D17AA0">
        <w:rPr>
          <w:rFonts w:asciiTheme="majorHAnsi" w:eastAsia="Times New Roman" w:hAnsiTheme="majorHAnsi" w:cstheme="majorHAnsi"/>
          <w:i/>
          <w:color w:val="000000" w:themeColor="text1"/>
          <w:sz w:val="20"/>
          <w:szCs w:val="20"/>
        </w:rPr>
        <w:t xml:space="preserve">2 pav. </w:t>
      </w:r>
    </w:p>
    <w:p w14:paraId="1A171F4B" w14:textId="77777777" w:rsidR="00D17AA0" w:rsidRPr="00507088" w:rsidRDefault="00D17AA0" w:rsidP="00D17AA0">
      <w:pPr>
        <w:jc w:val="center"/>
        <w:rPr>
          <w:rFonts w:asciiTheme="majorHAnsi" w:eastAsia="Times New Roman" w:hAnsiTheme="majorHAnsi" w:cstheme="majorHAnsi"/>
          <w:iCs/>
          <w:color w:val="000000" w:themeColor="text1"/>
          <w:sz w:val="20"/>
          <w:szCs w:val="20"/>
        </w:rPr>
      </w:pPr>
      <w:r>
        <w:rPr>
          <w:rFonts w:asciiTheme="majorHAnsi" w:eastAsia="Times New Roman" w:hAnsiTheme="majorHAnsi" w:cstheme="majorHAnsi"/>
          <w:iCs/>
          <w:noProof/>
          <w:color w:val="000000" w:themeColor="text1"/>
          <w:sz w:val="20"/>
          <w:szCs w:val="20"/>
          <w14:ligatures w14:val="standardContextual"/>
        </w:rPr>
        <w:drawing>
          <wp:inline distT="0" distB="0" distL="0" distR="0" wp14:anchorId="094625AE" wp14:editId="2326FD9E">
            <wp:extent cx="6106766" cy="3200400"/>
            <wp:effectExtent l="0" t="0" r="8890" b="0"/>
            <wp:docPr id="43515648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4183826" w14:textId="77777777" w:rsidR="00D17AA0" w:rsidRPr="005D0670" w:rsidRDefault="00D17AA0" w:rsidP="00D17AA0">
      <w:pPr>
        <w:jc w:val="both"/>
        <w:rPr>
          <w:rFonts w:asciiTheme="majorHAnsi" w:eastAsia="Times New Roman" w:hAnsiTheme="majorHAnsi" w:cstheme="majorHAnsi"/>
          <w:iCs/>
          <w:color w:val="000000" w:themeColor="text1"/>
          <w:sz w:val="20"/>
          <w:szCs w:val="20"/>
        </w:rPr>
      </w:pPr>
    </w:p>
    <w:p w14:paraId="794C6871" w14:textId="3A04F97C" w:rsidR="00D17AA0" w:rsidRPr="00F248C2" w:rsidRDefault="00D17AA0" w:rsidP="00D17AA0">
      <w:pPr>
        <w:jc w:val="both"/>
        <w:rPr>
          <w:rFonts w:asciiTheme="majorHAnsi" w:hAnsiTheme="majorHAnsi" w:cstheme="majorHAnsi"/>
          <w:sz w:val="20"/>
          <w:szCs w:val="20"/>
        </w:rPr>
      </w:pPr>
      <w:r w:rsidRPr="00F248C2">
        <w:rPr>
          <w:rFonts w:asciiTheme="majorHAnsi" w:hAnsiTheme="majorHAnsi" w:cstheme="majorHAnsi"/>
          <w:sz w:val="20"/>
          <w:szCs w:val="20"/>
        </w:rPr>
        <w:t>Klausimyną pildė 3</w:t>
      </w:r>
      <w:r>
        <w:rPr>
          <w:rFonts w:asciiTheme="majorHAnsi" w:hAnsiTheme="majorHAnsi" w:cstheme="majorHAnsi"/>
          <w:sz w:val="20"/>
          <w:szCs w:val="20"/>
        </w:rPr>
        <w:t>9</w:t>
      </w:r>
      <w:r w:rsidRPr="00F248C2">
        <w:rPr>
          <w:rFonts w:asciiTheme="majorHAnsi" w:hAnsiTheme="majorHAnsi" w:cstheme="majorHAnsi"/>
          <w:sz w:val="20"/>
          <w:szCs w:val="20"/>
        </w:rPr>
        <w:t xml:space="preserve"> Kauno kartų namų gyventojai. Su pirmuoju teiginiu sutinka </w:t>
      </w:r>
      <w:r>
        <w:rPr>
          <w:rFonts w:asciiTheme="majorHAnsi" w:hAnsiTheme="majorHAnsi" w:cstheme="majorHAnsi"/>
          <w:sz w:val="20"/>
          <w:szCs w:val="20"/>
        </w:rPr>
        <w:t>32 (8</w:t>
      </w:r>
      <w:r w:rsidR="003E4F1D">
        <w:rPr>
          <w:rFonts w:asciiTheme="majorHAnsi" w:hAnsiTheme="majorHAnsi" w:cstheme="majorHAnsi"/>
          <w:sz w:val="20"/>
          <w:szCs w:val="20"/>
        </w:rPr>
        <w:t>5</w:t>
      </w:r>
      <w:r>
        <w:rPr>
          <w:rFonts w:asciiTheme="majorHAnsi" w:hAnsiTheme="majorHAnsi" w:cstheme="majorHAnsi"/>
          <w:sz w:val="20"/>
          <w:szCs w:val="20"/>
        </w:rPr>
        <w:t xml:space="preserve"> </w:t>
      </w:r>
      <w:r w:rsidR="003E4F1D">
        <w:rPr>
          <w:rFonts w:asciiTheme="majorHAnsi" w:hAnsiTheme="majorHAnsi" w:cstheme="majorHAnsi"/>
          <w:sz w:val="20"/>
          <w:szCs w:val="20"/>
        </w:rPr>
        <w:t>p</w:t>
      </w:r>
      <w:r>
        <w:rPr>
          <w:rFonts w:asciiTheme="majorHAnsi" w:hAnsiTheme="majorHAnsi" w:cstheme="majorHAnsi"/>
          <w:sz w:val="20"/>
          <w:szCs w:val="20"/>
        </w:rPr>
        <w:t>roc.)</w:t>
      </w:r>
      <w:r w:rsidRPr="00F248C2">
        <w:rPr>
          <w:rFonts w:asciiTheme="majorHAnsi" w:hAnsiTheme="majorHAnsi" w:cstheme="majorHAnsi"/>
          <w:sz w:val="20"/>
          <w:szCs w:val="20"/>
        </w:rPr>
        <w:t xml:space="preserve"> asmenys,</w:t>
      </w:r>
      <w:r>
        <w:rPr>
          <w:rFonts w:asciiTheme="majorHAnsi" w:hAnsiTheme="majorHAnsi" w:cstheme="majorHAnsi"/>
          <w:sz w:val="20"/>
          <w:szCs w:val="20"/>
        </w:rPr>
        <w:t xml:space="preserve"> 6 </w:t>
      </w:r>
      <w:r w:rsidRPr="00F248C2">
        <w:rPr>
          <w:rFonts w:asciiTheme="majorHAnsi" w:hAnsiTheme="majorHAnsi" w:cstheme="majorHAnsi"/>
          <w:sz w:val="20"/>
          <w:szCs w:val="20"/>
        </w:rPr>
        <w:t xml:space="preserve">pažymėjo, kad nei sutinka, nei nesutinka, </w:t>
      </w:r>
      <w:r>
        <w:rPr>
          <w:rFonts w:asciiTheme="majorHAnsi" w:hAnsiTheme="majorHAnsi" w:cstheme="majorHAnsi"/>
          <w:sz w:val="20"/>
          <w:szCs w:val="20"/>
        </w:rPr>
        <w:t>1 asmuo nesutinka</w:t>
      </w:r>
      <w:r w:rsidRPr="00F248C2">
        <w:rPr>
          <w:rFonts w:asciiTheme="majorHAnsi" w:hAnsiTheme="majorHAnsi" w:cstheme="majorHAnsi"/>
          <w:sz w:val="20"/>
          <w:szCs w:val="20"/>
        </w:rPr>
        <w:t xml:space="preserve">. Su antruoju teiginiu sutinka </w:t>
      </w:r>
      <w:r>
        <w:rPr>
          <w:rFonts w:asciiTheme="majorHAnsi" w:hAnsiTheme="majorHAnsi" w:cstheme="majorHAnsi"/>
          <w:sz w:val="20"/>
          <w:szCs w:val="20"/>
        </w:rPr>
        <w:t>36</w:t>
      </w:r>
      <w:r w:rsidRPr="00F248C2">
        <w:rPr>
          <w:rFonts w:asciiTheme="majorHAnsi" w:hAnsiTheme="majorHAnsi" w:cstheme="majorHAnsi"/>
          <w:sz w:val="20"/>
          <w:szCs w:val="20"/>
        </w:rPr>
        <w:t xml:space="preserve"> gyventojai</w:t>
      </w:r>
      <w:r>
        <w:rPr>
          <w:rFonts w:asciiTheme="majorHAnsi" w:hAnsiTheme="majorHAnsi" w:cstheme="majorHAnsi"/>
          <w:sz w:val="20"/>
          <w:szCs w:val="20"/>
        </w:rPr>
        <w:t xml:space="preserve"> (92 proc.) </w:t>
      </w:r>
      <w:r w:rsidRPr="00F248C2">
        <w:rPr>
          <w:rFonts w:asciiTheme="majorHAnsi" w:hAnsiTheme="majorHAnsi" w:cstheme="majorHAnsi"/>
          <w:sz w:val="20"/>
          <w:szCs w:val="20"/>
        </w:rPr>
        <w:t xml:space="preserve">, nei sutinka, nei nesutinka </w:t>
      </w:r>
      <w:r>
        <w:rPr>
          <w:rFonts w:asciiTheme="majorHAnsi" w:hAnsiTheme="majorHAnsi" w:cstheme="majorHAnsi"/>
          <w:sz w:val="20"/>
          <w:szCs w:val="20"/>
        </w:rPr>
        <w:t>6 asmenys</w:t>
      </w:r>
      <w:r w:rsidRPr="00F248C2">
        <w:rPr>
          <w:rFonts w:asciiTheme="majorHAnsi" w:hAnsiTheme="majorHAnsi" w:cstheme="majorHAnsi"/>
          <w:sz w:val="20"/>
          <w:szCs w:val="20"/>
        </w:rPr>
        <w:t xml:space="preserve">. Su trečiuoju teiginiu sutinka </w:t>
      </w:r>
      <w:r>
        <w:rPr>
          <w:rFonts w:asciiTheme="majorHAnsi" w:hAnsiTheme="majorHAnsi" w:cstheme="majorHAnsi"/>
          <w:sz w:val="20"/>
          <w:szCs w:val="20"/>
        </w:rPr>
        <w:t>35</w:t>
      </w:r>
      <w:r w:rsidRPr="00F248C2">
        <w:rPr>
          <w:rFonts w:asciiTheme="majorHAnsi" w:hAnsiTheme="majorHAnsi" w:cstheme="majorHAnsi"/>
          <w:sz w:val="20"/>
          <w:szCs w:val="20"/>
        </w:rPr>
        <w:t xml:space="preserve"> gyventojai</w:t>
      </w:r>
      <w:r>
        <w:rPr>
          <w:rFonts w:asciiTheme="majorHAnsi" w:hAnsiTheme="majorHAnsi" w:cstheme="majorHAnsi"/>
          <w:sz w:val="20"/>
          <w:szCs w:val="20"/>
        </w:rPr>
        <w:t xml:space="preserve"> (90 proc.)</w:t>
      </w:r>
      <w:r w:rsidRPr="00F248C2">
        <w:rPr>
          <w:rFonts w:asciiTheme="majorHAnsi" w:hAnsiTheme="majorHAnsi" w:cstheme="majorHAnsi"/>
          <w:sz w:val="20"/>
          <w:szCs w:val="20"/>
        </w:rPr>
        <w:t xml:space="preserve">, nei sutinka, nei nesutinka </w:t>
      </w:r>
      <w:r>
        <w:rPr>
          <w:rFonts w:asciiTheme="majorHAnsi" w:hAnsiTheme="majorHAnsi" w:cstheme="majorHAnsi"/>
          <w:sz w:val="20"/>
          <w:szCs w:val="20"/>
        </w:rPr>
        <w:t>4</w:t>
      </w:r>
      <w:r w:rsidRPr="00F248C2">
        <w:rPr>
          <w:rFonts w:asciiTheme="majorHAnsi" w:hAnsiTheme="majorHAnsi" w:cstheme="majorHAnsi"/>
          <w:sz w:val="20"/>
          <w:szCs w:val="20"/>
        </w:rPr>
        <w:t xml:space="preserve">, nesutinkančių nebuvo. </w:t>
      </w:r>
    </w:p>
    <w:p w14:paraId="034FAD37" w14:textId="6F4E243B" w:rsidR="00D17AA0" w:rsidRPr="00994948" w:rsidRDefault="00D17AA0" w:rsidP="00D17AA0">
      <w:pPr>
        <w:jc w:val="both"/>
        <w:rPr>
          <w:rFonts w:asciiTheme="majorHAnsi" w:eastAsia="Times New Roman" w:hAnsiTheme="majorHAnsi" w:cstheme="majorHAnsi"/>
          <w:color w:val="000000" w:themeColor="text1"/>
          <w:sz w:val="20"/>
          <w:szCs w:val="20"/>
        </w:rPr>
      </w:pPr>
      <w:r w:rsidRPr="00994948">
        <w:rPr>
          <w:rFonts w:asciiTheme="majorHAnsi" w:eastAsia="Times New Roman" w:hAnsiTheme="majorHAnsi" w:cstheme="majorHAnsi"/>
          <w:color w:val="000000" w:themeColor="text1"/>
          <w:sz w:val="20"/>
          <w:szCs w:val="20"/>
        </w:rPr>
        <w:t>Socialinių darbuotojų ir užimtumo specialistės organizuotos 86  grupinės veiklos ir  57  individualios veiklos užsiėmima</w:t>
      </w:r>
      <w:r w:rsidR="007527C4">
        <w:rPr>
          <w:rFonts w:asciiTheme="majorHAnsi" w:eastAsia="Times New Roman" w:hAnsiTheme="majorHAnsi" w:cstheme="majorHAnsi"/>
          <w:color w:val="000000" w:themeColor="text1"/>
          <w:sz w:val="20"/>
          <w:szCs w:val="20"/>
        </w:rPr>
        <w:t>i</w:t>
      </w:r>
      <w:r w:rsidRPr="00994948">
        <w:rPr>
          <w:rFonts w:asciiTheme="majorHAnsi" w:eastAsia="Times New Roman" w:hAnsiTheme="majorHAnsi" w:cstheme="majorHAnsi"/>
          <w:color w:val="000000" w:themeColor="text1"/>
          <w:sz w:val="20"/>
          <w:szCs w:val="20"/>
        </w:rPr>
        <w:t xml:space="preserve">. Turėdami platų veiklų pasirinkimą paslaugų gavėjai įgyvendina savo teisę į užimtumą ir saviraišką. </w:t>
      </w:r>
    </w:p>
    <w:p w14:paraId="22B4DBB1" w14:textId="77777777" w:rsidR="00D17AA0" w:rsidRPr="00686BA1" w:rsidRDefault="00D17AA0" w:rsidP="00D17AA0">
      <w:pPr>
        <w:jc w:val="both"/>
        <w:rPr>
          <w:rFonts w:asciiTheme="majorHAnsi" w:eastAsia="Times New Roman" w:hAnsiTheme="majorHAnsi" w:cstheme="majorHAnsi"/>
          <w:iCs/>
          <w:color w:val="000000" w:themeColor="text1"/>
          <w:sz w:val="20"/>
          <w:szCs w:val="20"/>
        </w:rPr>
      </w:pPr>
      <w:r>
        <w:rPr>
          <w:rFonts w:asciiTheme="majorHAnsi" w:eastAsia="Times New Roman" w:hAnsiTheme="majorHAnsi" w:cstheme="majorHAnsi"/>
          <w:iCs/>
          <w:color w:val="000000" w:themeColor="text1"/>
          <w:sz w:val="20"/>
          <w:szCs w:val="20"/>
        </w:rPr>
        <w:t>2 pav. pateikiama iš  2024 ir 2025 metų klausimynų gautų duomenų procentinė išraiška, atskleidžianti gyventojų nuomonės pokytį apie teisės į užimtumo ir saviraiškos įgyvendinimą, sutinkant su klausimyne pateiktais teiginiais.</w:t>
      </w:r>
    </w:p>
    <w:p w14:paraId="4B8E69AF" w14:textId="77777777" w:rsidR="00D17AA0" w:rsidRDefault="00D17AA0" w:rsidP="00D17AA0">
      <w:pPr>
        <w:jc w:val="both"/>
        <w:rPr>
          <w:rFonts w:asciiTheme="majorHAnsi" w:hAnsiTheme="majorHAnsi" w:cstheme="majorHAnsi"/>
          <w:b/>
          <w:bCs/>
          <w:iCs/>
          <w:sz w:val="20"/>
          <w:szCs w:val="20"/>
        </w:rPr>
      </w:pPr>
    </w:p>
    <w:p w14:paraId="302EAA40" w14:textId="5C35AD11" w:rsidR="00D17AA0" w:rsidRPr="00D17AA0" w:rsidRDefault="00D17AA0" w:rsidP="00D17AA0">
      <w:pPr>
        <w:jc w:val="both"/>
        <w:rPr>
          <w:rFonts w:asciiTheme="majorHAnsi" w:hAnsiTheme="majorHAnsi" w:cstheme="majorHAnsi"/>
          <w:iCs/>
          <w:sz w:val="20"/>
          <w:szCs w:val="20"/>
        </w:rPr>
      </w:pPr>
      <w:r w:rsidRPr="00D17AA0">
        <w:rPr>
          <w:rFonts w:asciiTheme="majorHAnsi" w:hAnsiTheme="majorHAnsi" w:cstheme="majorHAnsi"/>
          <w:b/>
          <w:bCs/>
          <w:iCs/>
          <w:sz w:val="20"/>
          <w:szCs w:val="20"/>
        </w:rPr>
        <w:t>Išvada:</w:t>
      </w:r>
      <w:r>
        <w:rPr>
          <w:rFonts w:asciiTheme="majorHAnsi" w:hAnsiTheme="majorHAnsi" w:cstheme="majorHAnsi"/>
          <w:iCs/>
          <w:sz w:val="20"/>
          <w:szCs w:val="20"/>
        </w:rPr>
        <w:t xml:space="preserve"> </w:t>
      </w:r>
      <w:r w:rsidRPr="00D17AA0">
        <w:rPr>
          <w:rFonts w:asciiTheme="majorHAnsi" w:hAnsiTheme="majorHAnsi" w:cstheme="majorHAnsi"/>
          <w:iCs/>
          <w:sz w:val="20"/>
          <w:szCs w:val="20"/>
        </w:rPr>
        <w:t>gyventojai 2025 metais lyginant</w:t>
      </w:r>
      <w:r>
        <w:rPr>
          <w:rFonts w:asciiTheme="majorHAnsi" w:hAnsiTheme="majorHAnsi" w:cstheme="majorHAnsi"/>
          <w:iCs/>
          <w:sz w:val="20"/>
          <w:szCs w:val="20"/>
        </w:rPr>
        <w:t xml:space="preserve"> su </w:t>
      </w:r>
      <w:r w:rsidRPr="00D17AA0">
        <w:rPr>
          <w:rFonts w:asciiTheme="majorHAnsi" w:hAnsiTheme="majorHAnsi" w:cstheme="majorHAnsi"/>
          <w:iCs/>
          <w:sz w:val="20"/>
          <w:szCs w:val="20"/>
        </w:rPr>
        <w:t>2024 metais mato šiek tiek mažiau galimybių dalyvauti įstaigos siūlomose veiklose, tačiau ženkliai didesnis gy</w:t>
      </w:r>
      <w:r>
        <w:rPr>
          <w:rFonts w:asciiTheme="majorHAnsi" w:hAnsiTheme="majorHAnsi" w:cstheme="majorHAnsi"/>
          <w:iCs/>
          <w:sz w:val="20"/>
          <w:szCs w:val="20"/>
        </w:rPr>
        <w:t>v</w:t>
      </w:r>
      <w:r w:rsidRPr="00D17AA0">
        <w:rPr>
          <w:rFonts w:asciiTheme="majorHAnsi" w:hAnsiTheme="majorHAnsi" w:cstheme="majorHAnsi"/>
          <w:iCs/>
          <w:sz w:val="20"/>
          <w:szCs w:val="20"/>
        </w:rPr>
        <w:t>entoj</w:t>
      </w:r>
      <w:r w:rsidR="003E4F1D">
        <w:rPr>
          <w:rFonts w:asciiTheme="majorHAnsi" w:hAnsiTheme="majorHAnsi" w:cstheme="majorHAnsi"/>
          <w:iCs/>
          <w:sz w:val="20"/>
          <w:szCs w:val="20"/>
        </w:rPr>
        <w:t>ų</w:t>
      </w:r>
      <w:r w:rsidRPr="00D17AA0">
        <w:rPr>
          <w:rFonts w:asciiTheme="majorHAnsi" w:hAnsiTheme="majorHAnsi" w:cstheme="majorHAnsi"/>
          <w:iCs/>
          <w:sz w:val="20"/>
          <w:szCs w:val="20"/>
        </w:rPr>
        <w:t xml:space="preserve"> skaičius gali pasinaudoti teise organizuoti savo laisvalaikį savarankiškai. Šiuos duomenis pagrindžia trečiojo klausimo atsakymų rezultatai, jog gyventojų pasitenkinimas siūlomomis veiklomis, lyginant 2024 ir 2025 metus, pakilo 14 proc.</w:t>
      </w:r>
    </w:p>
    <w:p w14:paraId="36B0E959" w14:textId="77777777" w:rsidR="00D17AA0" w:rsidRDefault="00D17AA0" w:rsidP="00813B63">
      <w:pPr>
        <w:rPr>
          <w:rFonts w:asciiTheme="majorHAnsi" w:eastAsia="Times New Roman" w:hAnsiTheme="majorHAnsi" w:cstheme="majorHAnsi"/>
          <w:sz w:val="22"/>
          <w:szCs w:val="22"/>
        </w:rPr>
      </w:pPr>
    </w:p>
    <w:p w14:paraId="7710B7BD" w14:textId="77777777" w:rsidR="00D17AA0" w:rsidRDefault="00D17AA0">
      <w:pPr>
        <w:spacing w:after="160" w:line="259" w:lineRule="auto"/>
        <w:rPr>
          <w:rFonts w:asciiTheme="majorHAnsi" w:eastAsia="Times New Roman" w:hAnsiTheme="majorHAnsi" w:cstheme="majorHAnsi"/>
          <w:b/>
          <w:bCs/>
        </w:rPr>
      </w:pPr>
      <w:bookmarkStart w:id="1" w:name="_Hlk192001303"/>
      <w:bookmarkStart w:id="2" w:name="_Hlk157683334"/>
      <w:r>
        <w:rPr>
          <w:rFonts w:asciiTheme="majorHAnsi" w:eastAsia="Times New Roman" w:hAnsiTheme="majorHAnsi" w:cstheme="majorHAnsi"/>
          <w:b/>
          <w:bCs/>
        </w:rPr>
        <w:br w:type="page"/>
      </w:r>
    </w:p>
    <w:p w14:paraId="21677569" w14:textId="7EC56DC2" w:rsidR="00C95B33" w:rsidRPr="00F248C2" w:rsidRDefault="00C95B33" w:rsidP="00C95B33">
      <w:pPr>
        <w:rPr>
          <w:rFonts w:asciiTheme="majorHAnsi" w:eastAsia="Times New Roman" w:hAnsiTheme="majorHAnsi" w:cstheme="majorHAnsi"/>
          <w:b/>
          <w:bCs/>
        </w:rPr>
      </w:pPr>
      <w:r w:rsidRPr="00F248C2">
        <w:rPr>
          <w:rFonts w:asciiTheme="majorHAnsi" w:eastAsia="Times New Roman" w:hAnsiTheme="majorHAnsi" w:cstheme="majorHAnsi"/>
          <w:b/>
          <w:bCs/>
        </w:rPr>
        <w:lastRenderedPageBreak/>
        <w:t>ORGANIZACIJOS PARTNERYSČIŲ TEIKIAMOS NAUDOS REZULTATAI</w:t>
      </w:r>
      <w:r>
        <w:rPr>
          <w:rFonts w:asciiTheme="majorHAnsi" w:eastAsia="Times New Roman" w:hAnsiTheme="majorHAnsi" w:cstheme="majorHAnsi"/>
          <w:b/>
          <w:bCs/>
        </w:rPr>
        <w:t>,</w:t>
      </w:r>
      <w:r w:rsidRPr="00F248C2">
        <w:rPr>
          <w:rFonts w:asciiTheme="majorHAnsi" w:eastAsia="Times New Roman" w:hAnsiTheme="majorHAnsi" w:cstheme="majorHAnsi"/>
          <w:b/>
          <w:bCs/>
        </w:rPr>
        <w:t xml:space="preserve"> </w:t>
      </w:r>
      <w:r>
        <w:rPr>
          <w:rFonts w:asciiTheme="majorHAnsi" w:eastAsia="Times New Roman" w:hAnsiTheme="majorHAnsi" w:cstheme="majorHAnsi"/>
          <w:b/>
          <w:bCs/>
        </w:rPr>
        <w:t>2025 metai</w:t>
      </w:r>
    </w:p>
    <w:p w14:paraId="191005C1" w14:textId="77777777" w:rsidR="00C95B33" w:rsidRPr="00F248C2" w:rsidRDefault="00C95B33" w:rsidP="00C95B33">
      <w:pPr>
        <w:rPr>
          <w:rFonts w:asciiTheme="majorHAnsi" w:eastAsia="Times New Roman" w:hAnsiTheme="majorHAnsi" w:cstheme="majorHAnsi"/>
          <w:sz w:val="20"/>
          <w:szCs w:val="20"/>
        </w:rPr>
      </w:pPr>
    </w:p>
    <w:p w14:paraId="16B970F7" w14:textId="77777777" w:rsidR="00C95B33" w:rsidRPr="00F248C2" w:rsidRDefault="00C95B33" w:rsidP="00C95B33">
      <w:pPr>
        <w:jc w:val="both"/>
        <w:rPr>
          <w:rFonts w:asciiTheme="majorHAnsi" w:eastAsia="Times New Roman" w:hAnsiTheme="majorHAnsi" w:cstheme="majorHAnsi"/>
          <w:sz w:val="22"/>
          <w:szCs w:val="22"/>
        </w:rPr>
      </w:pPr>
      <w:r w:rsidRPr="00F248C2">
        <w:rPr>
          <w:rFonts w:asciiTheme="majorHAnsi" w:eastAsia="Times New Roman" w:hAnsiTheme="majorHAnsi" w:cstheme="majorHAnsi"/>
          <w:sz w:val="22"/>
          <w:szCs w:val="22"/>
        </w:rPr>
        <w:t>25 KRITERIJUS: Socialinių paslaugų teikėjas įvertina partnerystės rezultatus ir naudą paslaugų gavėjams ir organizacijai.</w:t>
      </w:r>
    </w:p>
    <w:p w14:paraId="632F81E1" w14:textId="77777777" w:rsidR="00C95B33" w:rsidRPr="00F248C2" w:rsidRDefault="00C95B33" w:rsidP="00C95B33">
      <w:pPr>
        <w:jc w:val="both"/>
        <w:rPr>
          <w:rFonts w:asciiTheme="majorHAnsi" w:eastAsia="Times New Roman" w:hAnsiTheme="majorHAnsi" w:cstheme="majorHAnsi"/>
          <w:sz w:val="20"/>
          <w:szCs w:val="20"/>
        </w:rPr>
      </w:pPr>
    </w:p>
    <w:p w14:paraId="30967FE3" w14:textId="623BFA47" w:rsidR="00C95B33" w:rsidRDefault="00C95B33" w:rsidP="00C95B33">
      <w:pPr>
        <w:jc w:val="both"/>
        <w:rPr>
          <w:rFonts w:asciiTheme="majorHAnsi" w:eastAsia="Times New Roman" w:hAnsiTheme="majorHAnsi" w:cstheme="majorHAnsi"/>
          <w:i/>
          <w:iCs/>
          <w:sz w:val="20"/>
          <w:szCs w:val="20"/>
        </w:rPr>
      </w:pPr>
      <w:r w:rsidRPr="00F248C2">
        <w:rPr>
          <w:rFonts w:asciiTheme="majorHAnsi" w:eastAsia="Times New Roman" w:hAnsiTheme="majorHAnsi" w:cstheme="majorHAnsi"/>
          <w:sz w:val="20"/>
          <w:szCs w:val="20"/>
        </w:rPr>
        <w:t xml:space="preserve">Rodiklis: </w:t>
      </w:r>
      <w:r w:rsidRPr="00A20474">
        <w:rPr>
          <w:rFonts w:asciiTheme="majorHAnsi" w:eastAsia="Times New Roman" w:hAnsiTheme="majorHAnsi" w:cstheme="majorHAnsi"/>
          <w:i/>
          <w:iCs/>
          <w:sz w:val="20"/>
          <w:szCs w:val="20"/>
        </w:rPr>
        <w:t>Partnerių teikiamų paslaugų nauda prisidedant prie paslaugų gavėjų gyvenimo kokybės sričių gerinimo paslaugų gavėjų</w:t>
      </w:r>
      <w:r>
        <w:rPr>
          <w:rFonts w:asciiTheme="majorHAnsi" w:eastAsia="Times New Roman" w:hAnsiTheme="majorHAnsi" w:cstheme="majorHAnsi"/>
          <w:i/>
          <w:iCs/>
          <w:sz w:val="20"/>
          <w:szCs w:val="20"/>
        </w:rPr>
        <w:t xml:space="preserve"> ir</w:t>
      </w:r>
      <w:r w:rsidRPr="00A20474">
        <w:rPr>
          <w:rFonts w:asciiTheme="majorHAnsi" w:eastAsia="Times New Roman" w:hAnsiTheme="majorHAnsi" w:cstheme="majorHAnsi"/>
          <w:i/>
          <w:iCs/>
          <w:sz w:val="20"/>
          <w:szCs w:val="20"/>
        </w:rPr>
        <w:t xml:space="preserve"> </w:t>
      </w:r>
      <w:r>
        <w:rPr>
          <w:rFonts w:asciiTheme="majorHAnsi" w:eastAsia="Times New Roman" w:hAnsiTheme="majorHAnsi" w:cstheme="majorHAnsi"/>
          <w:i/>
          <w:iCs/>
          <w:sz w:val="20"/>
          <w:szCs w:val="20"/>
        </w:rPr>
        <w:t xml:space="preserve">įstaigos </w:t>
      </w:r>
      <w:r w:rsidRPr="00A20474">
        <w:rPr>
          <w:rFonts w:asciiTheme="majorHAnsi" w:eastAsia="Times New Roman" w:hAnsiTheme="majorHAnsi" w:cstheme="majorHAnsi"/>
          <w:i/>
          <w:iCs/>
          <w:sz w:val="20"/>
          <w:szCs w:val="20"/>
        </w:rPr>
        <w:t>personalo  požiūriu</w:t>
      </w:r>
      <w:r>
        <w:rPr>
          <w:rFonts w:asciiTheme="majorHAnsi" w:eastAsia="Times New Roman" w:hAnsiTheme="majorHAnsi" w:cstheme="majorHAnsi"/>
          <w:i/>
          <w:iCs/>
          <w:sz w:val="20"/>
          <w:szCs w:val="20"/>
        </w:rPr>
        <w:t xml:space="preserve"> procentine išraišk</w:t>
      </w:r>
      <w:r w:rsidR="003F04D5">
        <w:rPr>
          <w:rFonts w:asciiTheme="majorHAnsi" w:eastAsia="Times New Roman" w:hAnsiTheme="majorHAnsi" w:cstheme="majorHAnsi"/>
          <w:i/>
          <w:iCs/>
          <w:sz w:val="20"/>
          <w:szCs w:val="20"/>
        </w:rPr>
        <w:t>a</w:t>
      </w:r>
      <w:r w:rsidRPr="00A20474">
        <w:rPr>
          <w:rFonts w:asciiTheme="majorHAnsi" w:eastAsia="Times New Roman" w:hAnsiTheme="majorHAnsi" w:cstheme="majorHAnsi"/>
          <w:i/>
          <w:iCs/>
          <w:sz w:val="20"/>
          <w:szCs w:val="20"/>
        </w:rPr>
        <w:t>.</w:t>
      </w:r>
    </w:p>
    <w:p w14:paraId="5F67CFDF" w14:textId="77777777" w:rsidR="00C95B33" w:rsidRDefault="00C95B33" w:rsidP="00C95B33">
      <w:pPr>
        <w:jc w:val="both"/>
        <w:rPr>
          <w:rFonts w:asciiTheme="majorHAnsi" w:eastAsia="Times New Roman" w:hAnsiTheme="majorHAnsi" w:cstheme="majorHAnsi"/>
          <w:sz w:val="20"/>
          <w:szCs w:val="20"/>
        </w:rPr>
      </w:pPr>
    </w:p>
    <w:p w14:paraId="5161F9DE" w14:textId="77777777" w:rsidR="00D17AA0" w:rsidRDefault="00D17AA0" w:rsidP="00D17AA0">
      <w:pPr>
        <w:jc w:val="both"/>
        <w:rPr>
          <w:rFonts w:asciiTheme="majorHAnsi" w:eastAsia="SimSun" w:hAnsiTheme="majorHAnsi" w:cstheme="majorHAnsi"/>
          <w:sz w:val="20"/>
          <w:szCs w:val="20"/>
          <w:lang w:eastAsia="zh-CN" w:bidi="hi-IN"/>
        </w:rPr>
      </w:pPr>
      <w:r w:rsidRPr="00F248C2">
        <w:rPr>
          <w:rFonts w:asciiTheme="majorHAnsi" w:eastAsia="SimSun" w:hAnsiTheme="majorHAnsi" w:cstheme="majorHAnsi"/>
          <w:sz w:val="20"/>
          <w:szCs w:val="20"/>
          <w:lang w:eastAsia="zh-CN" w:bidi="hi-IN"/>
        </w:rPr>
        <w:t>Apklauso</w:t>
      </w:r>
      <w:r>
        <w:rPr>
          <w:rFonts w:asciiTheme="majorHAnsi" w:eastAsia="SimSun" w:hAnsiTheme="majorHAnsi" w:cstheme="majorHAnsi"/>
          <w:sz w:val="20"/>
          <w:szCs w:val="20"/>
          <w:lang w:eastAsia="zh-CN" w:bidi="hi-IN"/>
        </w:rPr>
        <w:t>je dalyvavo</w:t>
      </w:r>
      <w:r w:rsidRPr="00F248C2">
        <w:rPr>
          <w:rFonts w:asciiTheme="majorHAnsi" w:eastAsia="SimSun" w:hAnsiTheme="majorHAnsi" w:cstheme="majorHAnsi"/>
          <w:sz w:val="20"/>
          <w:szCs w:val="20"/>
          <w:lang w:eastAsia="zh-CN" w:bidi="hi-IN"/>
        </w:rPr>
        <w:t xml:space="preserve"> </w:t>
      </w:r>
      <w:r>
        <w:rPr>
          <w:rFonts w:asciiTheme="majorHAnsi" w:eastAsia="SimSun" w:hAnsiTheme="majorHAnsi" w:cstheme="majorHAnsi"/>
          <w:sz w:val="20"/>
          <w:szCs w:val="20"/>
          <w:lang w:eastAsia="zh-CN" w:bidi="hi-IN"/>
        </w:rPr>
        <w:t>26 iš 39</w:t>
      </w:r>
      <w:r w:rsidRPr="00F248C2">
        <w:rPr>
          <w:rFonts w:asciiTheme="majorHAnsi" w:eastAsia="SimSun" w:hAnsiTheme="majorHAnsi" w:cstheme="majorHAnsi"/>
          <w:sz w:val="20"/>
          <w:szCs w:val="20"/>
          <w:lang w:eastAsia="zh-CN" w:bidi="hi-IN"/>
        </w:rPr>
        <w:t xml:space="preserve"> paslaugų </w:t>
      </w:r>
      <w:r>
        <w:rPr>
          <w:rFonts w:asciiTheme="majorHAnsi" w:eastAsia="SimSun" w:hAnsiTheme="majorHAnsi" w:cstheme="majorHAnsi"/>
          <w:sz w:val="20"/>
          <w:szCs w:val="20"/>
          <w:lang w:eastAsia="zh-CN" w:bidi="hi-IN"/>
        </w:rPr>
        <w:t xml:space="preserve">gavėjų. Dalis gyventojų (13) nedalyvavo dėl sveikatos būklės.  </w:t>
      </w:r>
      <w:r w:rsidRPr="00F248C2">
        <w:rPr>
          <w:rFonts w:asciiTheme="majorHAnsi" w:eastAsia="SimSun" w:hAnsiTheme="majorHAnsi" w:cstheme="majorHAnsi"/>
          <w:sz w:val="20"/>
          <w:szCs w:val="20"/>
          <w:lang w:eastAsia="zh-CN" w:bidi="hi-IN"/>
        </w:rPr>
        <w:t>Apklausoje paslaugų gavėjų buvo prašoma pažymėti</w:t>
      </w:r>
      <w:r>
        <w:rPr>
          <w:rFonts w:asciiTheme="majorHAnsi" w:eastAsia="SimSun" w:hAnsiTheme="majorHAnsi" w:cstheme="majorHAnsi"/>
          <w:sz w:val="20"/>
          <w:szCs w:val="20"/>
          <w:lang w:eastAsia="zh-CN" w:bidi="hi-IN"/>
        </w:rPr>
        <w:t>,</w:t>
      </w:r>
      <w:r w:rsidRPr="00F248C2">
        <w:rPr>
          <w:rFonts w:asciiTheme="majorHAnsi" w:eastAsia="SimSun" w:hAnsiTheme="majorHAnsi" w:cstheme="majorHAnsi"/>
          <w:sz w:val="20"/>
          <w:szCs w:val="20"/>
          <w:lang w:eastAsia="zh-CN" w:bidi="hi-IN"/>
        </w:rPr>
        <w:t xml:space="preserve"> kurie socialiniai partneriai prie kurių gyvenimo kokybės sričių prisideda.</w:t>
      </w:r>
      <w:r>
        <w:rPr>
          <w:rFonts w:asciiTheme="majorHAnsi" w:eastAsia="SimSun" w:hAnsiTheme="majorHAnsi" w:cstheme="majorHAnsi"/>
          <w:sz w:val="20"/>
          <w:szCs w:val="20"/>
          <w:lang w:eastAsia="zh-CN" w:bidi="hi-IN"/>
        </w:rPr>
        <w:t xml:space="preserve"> </w:t>
      </w:r>
    </w:p>
    <w:p w14:paraId="18B4F791" w14:textId="5E738DF3" w:rsidR="00C95B33" w:rsidRPr="00F248C2" w:rsidRDefault="00D17AA0" w:rsidP="00C95B33">
      <w:pPr>
        <w:rPr>
          <w:rFonts w:asciiTheme="majorHAnsi" w:eastAsia="Times New Roman" w:hAnsiTheme="majorHAnsi" w:cstheme="majorHAnsi"/>
          <w:iCs/>
          <w:sz w:val="20"/>
          <w:szCs w:val="20"/>
        </w:rPr>
      </w:pPr>
      <w:r w:rsidRPr="00D17AA0">
        <w:rPr>
          <w:rFonts w:asciiTheme="majorHAnsi" w:eastAsia="Times New Roman" w:hAnsiTheme="majorHAnsi" w:cstheme="majorHAnsi"/>
          <w:i/>
          <w:sz w:val="20"/>
          <w:szCs w:val="20"/>
        </w:rPr>
        <w:t>3</w:t>
      </w:r>
      <w:r w:rsidR="00C95B33" w:rsidRPr="00D17AA0">
        <w:rPr>
          <w:rFonts w:asciiTheme="majorHAnsi" w:eastAsia="Times New Roman" w:hAnsiTheme="majorHAnsi" w:cstheme="majorHAnsi"/>
          <w:i/>
          <w:sz w:val="20"/>
          <w:szCs w:val="20"/>
        </w:rPr>
        <w:t xml:space="preserve"> pav</w:t>
      </w:r>
      <w:r w:rsidR="00C95B33" w:rsidRPr="00D17AA0">
        <w:rPr>
          <w:rFonts w:asciiTheme="majorHAnsi" w:eastAsia="Times New Roman" w:hAnsiTheme="majorHAnsi" w:cstheme="majorHAnsi"/>
          <w:iCs/>
          <w:sz w:val="20"/>
          <w:szCs w:val="20"/>
        </w:rPr>
        <w:t>.</w:t>
      </w:r>
    </w:p>
    <w:p w14:paraId="718A2FD1" w14:textId="77777777" w:rsidR="00C95B33" w:rsidRDefault="00C95B33" w:rsidP="00C95B33">
      <w:pPr>
        <w:jc w:val="both"/>
        <w:rPr>
          <w:rFonts w:asciiTheme="majorHAnsi" w:eastAsia="SimSun" w:hAnsiTheme="majorHAnsi" w:cstheme="majorHAnsi"/>
          <w:sz w:val="20"/>
          <w:szCs w:val="20"/>
          <w:lang w:eastAsia="zh-CN" w:bidi="hi-IN"/>
        </w:rPr>
      </w:pPr>
      <w:r>
        <w:rPr>
          <w:noProof/>
        </w:rPr>
        <w:drawing>
          <wp:inline distT="0" distB="0" distL="0" distR="0" wp14:anchorId="23B84B3D" wp14:editId="73AD45C1">
            <wp:extent cx="5915025" cy="2135875"/>
            <wp:effectExtent l="0" t="0" r="9525" b="17145"/>
            <wp:docPr id="1" name="Chart 1">
              <a:extLst xmlns:a="http://schemas.openxmlformats.org/drawingml/2006/main">
                <a:ext uri="{FF2B5EF4-FFF2-40B4-BE49-F238E27FC236}">
                  <a16:creationId xmlns:a16="http://schemas.microsoft.com/office/drawing/2014/main" id="{34AD3625-D940-466E-9AEA-E34FBB9FCB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D596354" w14:textId="77777777" w:rsidR="00C95B33" w:rsidRPr="00F248C2" w:rsidRDefault="00C95B33" w:rsidP="00C95B33">
      <w:pPr>
        <w:jc w:val="both"/>
        <w:rPr>
          <w:rFonts w:asciiTheme="majorHAnsi" w:eastAsia="SimSun" w:hAnsiTheme="majorHAnsi" w:cstheme="majorHAnsi"/>
          <w:sz w:val="20"/>
          <w:szCs w:val="20"/>
          <w:lang w:eastAsia="zh-CN" w:bidi="hi-IN"/>
        </w:rPr>
      </w:pPr>
    </w:p>
    <w:p w14:paraId="62B64347" w14:textId="77777777" w:rsidR="00C95B33" w:rsidRDefault="00C95B33" w:rsidP="00C95B33">
      <w:pPr>
        <w:rPr>
          <w:rFonts w:ascii="Calibri Light" w:hAnsi="Calibri Light" w:cs="Calibri Light"/>
          <w:sz w:val="20"/>
          <w:szCs w:val="20"/>
        </w:rPr>
      </w:pPr>
      <w:r w:rsidRPr="00F07F3D">
        <w:rPr>
          <w:rStyle w:val="Strong"/>
          <w:rFonts w:ascii="Calibri Light" w:hAnsi="Calibri Light" w:cs="Calibri Light"/>
          <w:b w:val="0"/>
          <w:bCs w:val="0"/>
          <w:sz w:val="20"/>
          <w:szCs w:val="20"/>
        </w:rPr>
        <w:t>Lietuvos Raudonasis Kryžius</w:t>
      </w:r>
      <w:r w:rsidRPr="00F07F3D">
        <w:rPr>
          <w:rFonts w:ascii="Calibri Light" w:hAnsi="Calibri Light" w:cs="Calibri Light"/>
          <w:b/>
          <w:bCs/>
          <w:sz w:val="20"/>
          <w:szCs w:val="20"/>
        </w:rPr>
        <w:t xml:space="preserve"> </w:t>
      </w:r>
      <w:r w:rsidRPr="00B41885">
        <w:rPr>
          <w:rFonts w:ascii="Calibri Light" w:hAnsi="Calibri Light" w:cs="Calibri Light"/>
          <w:sz w:val="20"/>
          <w:szCs w:val="20"/>
        </w:rPr>
        <w:t xml:space="preserve">labiau prisideda prie </w:t>
      </w:r>
      <w:r w:rsidRPr="00F07F3D">
        <w:rPr>
          <w:rStyle w:val="Strong"/>
          <w:rFonts w:ascii="Calibri Light" w:hAnsi="Calibri Light" w:cs="Calibri Light"/>
          <w:b w:val="0"/>
          <w:bCs w:val="0"/>
          <w:sz w:val="20"/>
          <w:szCs w:val="20"/>
        </w:rPr>
        <w:t>sveikatos ir socialinių ryšių</w:t>
      </w:r>
      <w:r w:rsidRPr="00F07F3D">
        <w:rPr>
          <w:rFonts w:ascii="Calibri Light" w:hAnsi="Calibri Light" w:cs="Calibri Light"/>
          <w:b/>
          <w:bCs/>
          <w:sz w:val="20"/>
          <w:szCs w:val="20"/>
        </w:rPr>
        <w:t xml:space="preserve">, </w:t>
      </w:r>
      <w:r w:rsidRPr="00F07F3D">
        <w:rPr>
          <w:rStyle w:val="Strong"/>
          <w:rFonts w:ascii="Calibri Light" w:hAnsi="Calibri Light" w:cs="Calibri Light"/>
          <w:b w:val="0"/>
          <w:bCs w:val="0"/>
          <w:sz w:val="20"/>
          <w:szCs w:val="20"/>
        </w:rPr>
        <w:t>Kauno apskrities viešoji biblioteka</w:t>
      </w:r>
      <w:r w:rsidRPr="00B41885">
        <w:rPr>
          <w:rFonts w:ascii="Calibri Light" w:hAnsi="Calibri Light" w:cs="Calibri Light"/>
          <w:b/>
          <w:sz w:val="20"/>
          <w:szCs w:val="20"/>
        </w:rPr>
        <w:t xml:space="preserve"> – </w:t>
      </w:r>
      <w:r w:rsidRPr="00B41885">
        <w:rPr>
          <w:rFonts w:ascii="Calibri Light" w:hAnsi="Calibri Light" w:cs="Calibri Light"/>
          <w:sz w:val="20"/>
          <w:szCs w:val="20"/>
        </w:rPr>
        <w:t xml:space="preserve">prie </w:t>
      </w:r>
      <w:r w:rsidRPr="00F07F3D">
        <w:rPr>
          <w:rStyle w:val="Strong"/>
          <w:rFonts w:ascii="Calibri Light" w:hAnsi="Calibri Light" w:cs="Calibri Light"/>
          <w:b w:val="0"/>
          <w:bCs w:val="0"/>
          <w:sz w:val="20"/>
          <w:szCs w:val="20"/>
        </w:rPr>
        <w:t>savirealizacijos ir socialinių ryšių</w:t>
      </w:r>
      <w:r w:rsidRPr="00B41885">
        <w:rPr>
          <w:rFonts w:ascii="Calibri Light" w:hAnsi="Calibri Light" w:cs="Calibri Light"/>
          <w:sz w:val="20"/>
          <w:szCs w:val="20"/>
        </w:rPr>
        <w:t>, o</w:t>
      </w:r>
      <w:r w:rsidRPr="00B41885">
        <w:rPr>
          <w:rFonts w:ascii="Calibri Light" w:hAnsi="Calibri Light" w:cs="Calibri Light"/>
          <w:b/>
          <w:sz w:val="20"/>
          <w:szCs w:val="20"/>
        </w:rPr>
        <w:t xml:space="preserve"> </w:t>
      </w:r>
      <w:r w:rsidRPr="00F07F3D">
        <w:rPr>
          <w:rStyle w:val="Strong"/>
          <w:rFonts w:ascii="Calibri Light" w:hAnsi="Calibri Light" w:cs="Calibri Light"/>
          <w:b w:val="0"/>
          <w:bCs w:val="0"/>
          <w:sz w:val="20"/>
          <w:szCs w:val="20"/>
        </w:rPr>
        <w:t>Lietuvos audiosensorinė biblioteka</w:t>
      </w:r>
      <w:r w:rsidRPr="00B41885">
        <w:rPr>
          <w:rFonts w:ascii="Calibri Light" w:hAnsi="Calibri Light" w:cs="Calibri Light"/>
          <w:sz w:val="20"/>
          <w:szCs w:val="20"/>
        </w:rPr>
        <w:t xml:space="preserve"> išsiskiria </w:t>
      </w:r>
      <w:r w:rsidRPr="00F07F3D">
        <w:rPr>
          <w:rStyle w:val="Strong"/>
          <w:rFonts w:ascii="Calibri Light" w:hAnsi="Calibri Light" w:cs="Calibri Light"/>
          <w:b w:val="0"/>
          <w:bCs w:val="0"/>
          <w:sz w:val="20"/>
          <w:szCs w:val="20"/>
        </w:rPr>
        <w:t>saugumo jausmo stiprinimu</w:t>
      </w:r>
      <w:r w:rsidRPr="00B41885">
        <w:rPr>
          <w:rFonts w:ascii="Calibri Light" w:hAnsi="Calibri Light" w:cs="Calibri Light"/>
          <w:sz w:val="20"/>
          <w:szCs w:val="20"/>
        </w:rPr>
        <w:t xml:space="preserve">. Vis dėlto visų partnerių veiklose ryškiausia bendra tendencija – didžiausias poveikis tenka </w:t>
      </w:r>
      <w:r w:rsidRPr="00F07F3D">
        <w:rPr>
          <w:rStyle w:val="Strong"/>
          <w:rFonts w:ascii="Calibri Light" w:hAnsi="Calibri Light" w:cs="Calibri Light"/>
          <w:b w:val="0"/>
          <w:bCs w:val="0"/>
          <w:sz w:val="20"/>
          <w:szCs w:val="20"/>
        </w:rPr>
        <w:t>socialinių ryšių stiprinimui</w:t>
      </w:r>
      <w:r w:rsidRPr="00732AA4">
        <w:rPr>
          <w:rFonts w:ascii="Calibri Light" w:hAnsi="Calibri Light" w:cs="Calibri Light"/>
          <w:sz w:val="20"/>
          <w:szCs w:val="20"/>
        </w:rPr>
        <w:t>, o</w:t>
      </w:r>
      <w:r w:rsidRPr="00732AA4">
        <w:rPr>
          <w:rFonts w:ascii="Calibri Light" w:hAnsi="Calibri Light" w:cs="Calibri Light"/>
          <w:b/>
          <w:sz w:val="20"/>
          <w:szCs w:val="20"/>
        </w:rPr>
        <w:t xml:space="preserve"> </w:t>
      </w:r>
      <w:r w:rsidRPr="00F07F3D">
        <w:rPr>
          <w:rStyle w:val="Strong"/>
          <w:rFonts w:ascii="Calibri Light" w:hAnsi="Calibri Light" w:cs="Calibri Light"/>
          <w:b w:val="0"/>
          <w:bCs w:val="0"/>
          <w:sz w:val="20"/>
          <w:szCs w:val="20"/>
        </w:rPr>
        <w:t>gerbūvio</w:t>
      </w:r>
      <w:r w:rsidRPr="00732AA4">
        <w:rPr>
          <w:rStyle w:val="Strong"/>
          <w:rFonts w:ascii="Calibri Light" w:hAnsi="Calibri Light" w:cs="Calibri Light"/>
          <w:sz w:val="20"/>
          <w:szCs w:val="20"/>
        </w:rPr>
        <w:t xml:space="preserve"> </w:t>
      </w:r>
      <w:r w:rsidRPr="00F07F3D">
        <w:rPr>
          <w:rStyle w:val="Strong"/>
          <w:rFonts w:ascii="Calibri Light" w:hAnsi="Calibri Light" w:cs="Calibri Light"/>
          <w:b w:val="0"/>
          <w:bCs w:val="0"/>
          <w:sz w:val="20"/>
          <w:szCs w:val="20"/>
        </w:rPr>
        <w:t>sritis</w:t>
      </w:r>
      <w:r w:rsidRPr="00B41885">
        <w:rPr>
          <w:rFonts w:ascii="Calibri Light" w:hAnsi="Calibri Light" w:cs="Calibri Light"/>
          <w:sz w:val="20"/>
          <w:szCs w:val="20"/>
        </w:rPr>
        <w:t xml:space="preserve"> išlieka mažiausiai akcentuojama ir galėtų būti tolesnio stiprinimo kryptis.</w:t>
      </w:r>
    </w:p>
    <w:p w14:paraId="1690D178" w14:textId="2F6744BB" w:rsidR="00C95B33" w:rsidRPr="00C95B33" w:rsidRDefault="00D17AA0" w:rsidP="00C95B33">
      <w:pPr>
        <w:rPr>
          <w:rFonts w:ascii="Calibri Light" w:hAnsi="Calibri Light" w:cs="Calibri Light"/>
          <w:i/>
          <w:iCs/>
          <w:sz w:val="20"/>
          <w:szCs w:val="20"/>
        </w:rPr>
      </w:pPr>
      <w:r>
        <w:rPr>
          <w:rFonts w:ascii="Calibri Light" w:hAnsi="Calibri Light" w:cs="Calibri Light"/>
          <w:i/>
          <w:iCs/>
          <w:sz w:val="20"/>
          <w:szCs w:val="20"/>
        </w:rPr>
        <w:t>4</w:t>
      </w:r>
      <w:r w:rsidR="00C95B33" w:rsidRPr="00D17AA0">
        <w:rPr>
          <w:rFonts w:ascii="Calibri Light" w:hAnsi="Calibri Light" w:cs="Calibri Light"/>
          <w:i/>
          <w:iCs/>
          <w:sz w:val="20"/>
          <w:szCs w:val="20"/>
        </w:rPr>
        <w:t xml:space="preserve"> pav.</w:t>
      </w:r>
      <w:r w:rsidR="00C95B33" w:rsidRPr="00C95B33">
        <w:rPr>
          <w:rFonts w:ascii="Calibri Light" w:hAnsi="Calibri Light" w:cs="Calibri Light"/>
          <w:i/>
          <w:iCs/>
          <w:sz w:val="20"/>
          <w:szCs w:val="20"/>
        </w:rPr>
        <w:t xml:space="preserve"> </w:t>
      </w:r>
    </w:p>
    <w:p w14:paraId="053FE246" w14:textId="77777777" w:rsidR="00C95B33" w:rsidRPr="00700EF7" w:rsidRDefault="00C95B33" w:rsidP="00C95B33">
      <w:pPr>
        <w:rPr>
          <w:rFonts w:ascii="Calibri Light" w:eastAsia="SimSun" w:hAnsi="Calibri Light" w:cs="Calibri Light"/>
          <w:sz w:val="20"/>
          <w:szCs w:val="20"/>
          <w:lang w:eastAsia="zh-CN" w:bidi="hi-IN"/>
        </w:rPr>
      </w:pPr>
      <w:r>
        <w:rPr>
          <w:noProof/>
        </w:rPr>
        <w:drawing>
          <wp:inline distT="0" distB="0" distL="0" distR="0" wp14:anchorId="45939D63" wp14:editId="7E702201">
            <wp:extent cx="6000750" cy="2197289"/>
            <wp:effectExtent l="0" t="0" r="0" b="12700"/>
            <wp:docPr id="2" name="Chart 2">
              <a:extLst xmlns:a="http://schemas.openxmlformats.org/drawingml/2006/main">
                <a:ext uri="{FF2B5EF4-FFF2-40B4-BE49-F238E27FC236}">
                  <a16:creationId xmlns:a16="http://schemas.microsoft.com/office/drawing/2014/main" id="{77276278-4414-47EA-A2EE-361ECA4C3F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5A21EEC" w14:textId="77777777" w:rsidR="00F07F3D" w:rsidRDefault="00C95B33" w:rsidP="003F04D5">
      <w:pPr>
        <w:pStyle w:val="pdq2pgselectionanchorcontainer"/>
        <w:jc w:val="both"/>
        <w:rPr>
          <w:rFonts w:ascii="Calibri Light" w:eastAsia="SimSun" w:hAnsi="Calibri Light" w:cs="Calibri Light"/>
          <w:sz w:val="20"/>
          <w:szCs w:val="20"/>
          <w:lang w:val="lt-LT" w:eastAsia="zh-CN" w:bidi="hi-IN"/>
        </w:rPr>
      </w:pPr>
      <w:r w:rsidRPr="00AC4180">
        <w:rPr>
          <w:rFonts w:ascii="Calibri Light" w:hAnsi="Calibri Light" w:cs="Calibri Light"/>
          <w:sz w:val="20"/>
          <w:szCs w:val="20"/>
          <w:lang w:val="lt-LT"/>
        </w:rPr>
        <w:t xml:space="preserve">Apklausoje dalyvavo 29 darbuotojai. Buvo pateiktas tas pats klausimas kaip ir paslaugų gavėjams. Bendra tendencija rodo, </w:t>
      </w:r>
      <w:r w:rsidRPr="00F07F3D">
        <w:rPr>
          <w:rFonts w:ascii="Calibri Light" w:hAnsi="Calibri Light" w:cs="Calibri Light"/>
          <w:sz w:val="20"/>
          <w:szCs w:val="20"/>
          <w:lang w:val="lt-LT"/>
        </w:rPr>
        <w:t xml:space="preserve">kad darbuotojų požiūriu partnerystė pirmiausia stiprina </w:t>
      </w:r>
      <w:r w:rsidRPr="00F07F3D">
        <w:rPr>
          <w:rStyle w:val="Strong"/>
          <w:rFonts w:ascii="Calibri Light" w:eastAsiaTheme="majorEastAsia" w:hAnsi="Calibri Light" w:cs="Calibri Light"/>
          <w:b w:val="0"/>
          <w:bCs w:val="0"/>
          <w:sz w:val="20"/>
          <w:szCs w:val="20"/>
          <w:lang w:val="lt-LT"/>
        </w:rPr>
        <w:t>socialinius ryšius</w:t>
      </w:r>
      <w:r w:rsidRPr="00F07F3D">
        <w:rPr>
          <w:rFonts w:ascii="Calibri Light" w:hAnsi="Calibri Light" w:cs="Calibri Light"/>
          <w:b/>
          <w:bCs/>
          <w:sz w:val="20"/>
          <w:szCs w:val="20"/>
          <w:lang w:val="lt-LT"/>
        </w:rPr>
        <w:t xml:space="preserve"> </w:t>
      </w:r>
      <w:r w:rsidRPr="00F07F3D">
        <w:rPr>
          <w:rFonts w:ascii="Calibri Light" w:hAnsi="Calibri Light" w:cs="Calibri Light"/>
          <w:sz w:val="20"/>
          <w:szCs w:val="20"/>
          <w:lang w:val="lt-LT"/>
        </w:rPr>
        <w:t xml:space="preserve">ir </w:t>
      </w:r>
      <w:r w:rsidRPr="00F07F3D">
        <w:rPr>
          <w:rStyle w:val="Strong"/>
          <w:rFonts w:ascii="Calibri Light" w:eastAsiaTheme="majorEastAsia" w:hAnsi="Calibri Light" w:cs="Calibri Light"/>
          <w:b w:val="0"/>
          <w:bCs w:val="0"/>
          <w:sz w:val="20"/>
          <w:szCs w:val="20"/>
          <w:lang w:val="lt-LT"/>
        </w:rPr>
        <w:t>savirealizaciją</w:t>
      </w:r>
      <w:r w:rsidRPr="00F07F3D">
        <w:rPr>
          <w:rFonts w:ascii="Calibri Light" w:hAnsi="Calibri Light" w:cs="Calibri Light"/>
          <w:sz w:val="20"/>
          <w:szCs w:val="20"/>
          <w:lang w:val="lt-LT"/>
        </w:rPr>
        <w:t xml:space="preserve">, o mažiausiai prisideda prie </w:t>
      </w:r>
      <w:r w:rsidRPr="00F07F3D">
        <w:rPr>
          <w:rStyle w:val="Strong"/>
          <w:rFonts w:ascii="Calibri Light" w:eastAsiaTheme="majorEastAsia" w:hAnsi="Calibri Light" w:cs="Calibri Light"/>
          <w:b w:val="0"/>
          <w:bCs w:val="0"/>
          <w:sz w:val="20"/>
          <w:szCs w:val="20"/>
          <w:lang w:val="lt-LT"/>
        </w:rPr>
        <w:t>gerbūvio</w:t>
      </w:r>
      <w:r w:rsidRPr="00F07F3D">
        <w:rPr>
          <w:rFonts w:ascii="Calibri Light" w:hAnsi="Calibri Light" w:cs="Calibri Light"/>
          <w:sz w:val="20"/>
          <w:szCs w:val="20"/>
          <w:lang w:val="lt-LT"/>
        </w:rPr>
        <w:t xml:space="preserve">. Tarp organizacijų labiausiai išsiskiria </w:t>
      </w:r>
      <w:r w:rsidRPr="00F07F3D">
        <w:rPr>
          <w:rStyle w:val="Strong"/>
          <w:rFonts w:ascii="Calibri Light" w:eastAsiaTheme="majorEastAsia" w:hAnsi="Calibri Light" w:cs="Calibri Light"/>
          <w:b w:val="0"/>
          <w:bCs w:val="0"/>
          <w:sz w:val="20"/>
          <w:szCs w:val="20"/>
          <w:lang w:val="lt-LT"/>
        </w:rPr>
        <w:t>Kauno apskrities viešoji biblioteka</w:t>
      </w:r>
      <w:r w:rsidRPr="00F07F3D">
        <w:rPr>
          <w:rFonts w:ascii="Calibri Light" w:hAnsi="Calibri Light" w:cs="Calibri Light"/>
          <w:sz w:val="20"/>
          <w:szCs w:val="20"/>
          <w:lang w:val="lt-LT"/>
        </w:rPr>
        <w:t xml:space="preserve">, kurioje itin aukštai vertinamas partnerystės poveikis savirealizacijai, bei </w:t>
      </w:r>
      <w:r w:rsidRPr="00F07F3D">
        <w:rPr>
          <w:rStyle w:val="Strong"/>
          <w:rFonts w:ascii="Calibri Light" w:eastAsiaTheme="majorEastAsia" w:hAnsi="Calibri Light" w:cs="Calibri Light"/>
          <w:b w:val="0"/>
          <w:bCs w:val="0"/>
          <w:sz w:val="20"/>
          <w:szCs w:val="20"/>
          <w:lang w:val="lt-LT"/>
        </w:rPr>
        <w:t>Lietuvos Raudonasis Kryžius</w:t>
      </w:r>
      <w:r w:rsidRPr="00F07F3D">
        <w:rPr>
          <w:rFonts w:ascii="Calibri Light" w:hAnsi="Calibri Light" w:cs="Calibri Light"/>
          <w:sz w:val="20"/>
          <w:szCs w:val="20"/>
          <w:lang w:val="lt-LT"/>
        </w:rPr>
        <w:t xml:space="preserve">, kuriame aukščiausiai vertinamas partnerystės indėlis į socialinių ryšių stiprinimą. Tuo tarpu </w:t>
      </w:r>
      <w:r w:rsidRPr="00F07F3D">
        <w:rPr>
          <w:rStyle w:val="Strong"/>
          <w:rFonts w:ascii="Calibri Light" w:eastAsiaTheme="majorEastAsia" w:hAnsi="Calibri Light" w:cs="Calibri Light"/>
          <w:b w:val="0"/>
          <w:bCs w:val="0"/>
          <w:sz w:val="20"/>
          <w:szCs w:val="20"/>
          <w:lang w:val="lt-LT"/>
        </w:rPr>
        <w:t>Lietuvos audiosensorinėje bibliotekoje</w:t>
      </w:r>
      <w:r w:rsidRPr="00F07F3D">
        <w:rPr>
          <w:rFonts w:ascii="Calibri Light" w:hAnsi="Calibri Light" w:cs="Calibri Light"/>
          <w:sz w:val="20"/>
          <w:szCs w:val="20"/>
          <w:lang w:val="lt-LT"/>
        </w:rPr>
        <w:t xml:space="preserve"> ryškiausiai vertinami socialiniai ryšiai, tačiau savirealizacijos sritis įvertinta gerokai žemiau nei kitose organizacijose. S</w:t>
      </w:r>
      <w:r w:rsidRPr="00F07F3D">
        <w:rPr>
          <w:rFonts w:ascii="Calibri Light" w:eastAsia="SimSun" w:hAnsi="Calibri Light" w:cs="Calibri Light"/>
          <w:sz w:val="20"/>
          <w:szCs w:val="20"/>
          <w:lang w:val="lt-LT" w:eastAsia="zh-CN" w:bidi="hi-IN"/>
        </w:rPr>
        <w:t>u 2024 metų matavimo rodikliais nėra galimybių palyginti, nes skiriasi rezultato matavimo rodikliai (buvo skaičiai, dabar procentinė išraiška ir pakitęs partnerių</w:t>
      </w:r>
      <w:r>
        <w:rPr>
          <w:rFonts w:ascii="Calibri Light" w:eastAsia="SimSun" w:hAnsi="Calibri Light" w:cs="Calibri Light"/>
          <w:sz w:val="20"/>
          <w:szCs w:val="20"/>
          <w:lang w:val="lt-LT" w:eastAsia="zh-CN" w:bidi="hi-IN"/>
        </w:rPr>
        <w:t xml:space="preserve"> sk</w:t>
      </w:r>
      <w:r w:rsidR="003F04D5">
        <w:rPr>
          <w:rFonts w:ascii="Calibri Light" w:eastAsia="SimSun" w:hAnsi="Calibri Light" w:cs="Calibri Light"/>
          <w:sz w:val="20"/>
          <w:szCs w:val="20"/>
          <w:lang w:val="lt-LT" w:eastAsia="zh-CN" w:bidi="hi-IN"/>
        </w:rPr>
        <w:t>aičius</w:t>
      </w:r>
      <w:r>
        <w:rPr>
          <w:rFonts w:ascii="Calibri Light" w:eastAsia="SimSun" w:hAnsi="Calibri Light" w:cs="Calibri Light"/>
          <w:sz w:val="20"/>
          <w:szCs w:val="20"/>
          <w:lang w:val="lt-LT" w:eastAsia="zh-CN" w:bidi="hi-IN"/>
        </w:rPr>
        <w:t>).</w:t>
      </w:r>
    </w:p>
    <w:p w14:paraId="4F1073AC" w14:textId="4E419947" w:rsidR="00C95B33" w:rsidRPr="00022245" w:rsidRDefault="00C95B33" w:rsidP="003F04D5">
      <w:pPr>
        <w:pStyle w:val="pdq2pgselectionanchorcontainer"/>
        <w:jc w:val="both"/>
        <w:rPr>
          <w:rFonts w:ascii="Calibri Light" w:hAnsi="Calibri Light" w:cs="Calibri Light"/>
          <w:sz w:val="20"/>
          <w:szCs w:val="20"/>
          <w:lang w:val="lt-LT"/>
        </w:rPr>
      </w:pPr>
      <w:r w:rsidRPr="00022245">
        <w:rPr>
          <w:rFonts w:ascii="Calibri Light" w:hAnsi="Calibri Light" w:cs="Calibri Light"/>
          <w:b/>
          <w:sz w:val="20"/>
          <w:szCs w:val="20"/>
          <w:lang w:val="lt-LT"/>
        </w:rPr>
        <w:t>Išvada</w:t>
      </w:r>
      <w:r w:rsidRPr="00022245">
        <w:rPr>
          <w:rFonts w:ascii="Calibri Light" w:hAnsi="Calibri Light" w:cs="Calibri Light"/>
          <w:sz w:val="20"/>
          <w:szCs w:val="20"/>
          <w:lang w:val="lt-LT"/>
        </w:rPr>
        <w:t xml:space="preserve">: </w:t>
      </w:r>
      <w:r w:rsidR="00414533" w:rsidRPr="00022245">
        <w:rPr>
          <w:rFonts w:ascii="Calibri Light" w:hAnsi="Calibri Light" w:cs="Calibri Light"/>
          <w:sz w:val="20"/>
          <w:szCs w:val="20"/>
          <w:lang w:val="lt-LT"/>
        </w:rPr>
        <w:t>p</w:t>
      </w:r>
      <w:r w:rsidRPr="00022245">
        <w:rPr>
          <w:rFonts w:ascii="Calibri Light" w:hAnsi="Calibri Light" w:cs="Calibri Light"/>
          <w:sz w:val="20"/>
          <w:szCs w:val="20"/>
          <w:lang w:val="lt-LT"/>
        </w:rPr>
        <w:t xml:space="preserve">artnerių veiklos paslaugų gavėjams kuria skirtingą pridėtinę vertę. Kadangi visose organizacijose socialiniai ryšiai yra viena stipriausių partnerystės kuriamų naudų, verta tęsti ir plėsti: bendras partnerių veiklas ir renginius, tarpinstitucinius susitikimus, gerosios praktikos dalijimąsi, bendrus projektus ir mokymus. </w:t>
      </w:r>
      <w:r w:rsidRPr="00022245">
        <w:rPr>
          <w:rFonts w:ascii="Calibri Light" w:hAnsi="Calibri Light" w:cs="Calibri Light"/>
          <w:sz w:val="20"/>
          <w:szCs w:val="20"/>
          <w:lang w:val="lt-LT"/>
        </w:rPr>
        <w:br w:type="page"/>
      </w:r>
    </w:p>
    <w:bookmarkEnd w:id="1"/>
    <w:bookmarkEnd w:id="2"/>
    <w:p w14:paraId="04ADC2D9" w14:textId="19D90921" w:rsidR="00A532D6" w:rsidRDefault="00A532D6" w:rsidP="00A532D6">
      <w:pPr>
        <w:rPr>
          <w:rFonts w:ascii="Calibri Light" w:eastAsia="Times New Roman" w:hAnsi="Calibri Light" w:cs="Calibri Light"/>
          <w:b/>
          <w:bCs/>
        </w:rPr>
      </w:pPr>
      <w:r>
        <w:rPr>
          <w:rFonts w:ascii="Calibri Light" w:eastAsia="Times New Roman" w:hAnsi="Calibri Light" w:cs="Calibri Light"/>
          <w:b/>
          <w:bCs/>
        </w:rPr>
        <w:lastRenderedPageBreak/>
        <w:t xml:space="preserve">PASLAUGŲ GAVĖJŲ DALYVAVIMO METINIAI REZULTATAI, 2025 metai </w:t>
      </w:r>
    </w:p>
    <w:p w14:paraId="1918A02E" w14:textId="77777777" w:rsidR="00A532D6" w:rsidRDefault="00A532D6" w:rsidP="00A532D6">
      <w:pPr>
        <w:rPr>
          <w:rFonts w:ascii="Calibri Light" w:eastAsia="Times New Roman" w:hAnsi="Calibri Light" w:cs="Calibri Light"/>
        </w:rPr>
      </w:pPr>
    </w:p>
    <w:p w14:paraId="60C5B1AB" w14:textId="77777777" w:rsidR="00A532D6" w:rsidRDefault="00A532D6" w:rsidP="00A532D6">
      <w:pPr>
        <w:jc w:val="both"/>
        <w:rPr>
          <w:rFonts w:ascii="Calibri Light" w:eastAsia="Times New Roman" w:hAnsi="Calibri Light" w:cs="Calibri Light"/>
          <w:sz w:val="22"/>
          <w:szCs w:val="22"/>
        </w:rPr>
      </w:pPr>
      <w:r>
        <w:rPr>
          <w:rFonts w:ascii="Calibri Light" w:eastAsia="Times New Roman" w:hAnsi="Calibri Light" w:cs="Calibri Light"/>
          <w:sz w:val="22"/>
          <w:szCs w:val="22"/>
        </w:rPr>
        <w:t>27 KRITERIJUS: Socialinių paslaugų teikėjas įtraukia paslaugų gavėjus kaip aktyvius dalyvius į paslaugų planavimą, teikimą, vertinimą.</w:t>
      </w:r>
    </w:p>
    <w:p w14:paraId="1B3DC65D" w14:textId="77777777" w:rsidR="00A532D6" w:rsidRDefault="00A532D6" w:rsidP="00A532D6">
      <w:pPr>
        <w:jc w:val="both"/>
        <w:rPr>
          <w:rFonts w:ascii="Calibri Light" w:eastAsia="Times New Roman" w:hAnsi="Calibri Light" w:cs="Calibri Light"/>
          <w:sz w:val="20"/>
          <w:szCs w:val="20"/>
        </w:rPr>
      </w:pPr>
    </w:p>
    <w:p w14:paraId="2BEF9E13" w14:textId="3D7898C4" w:rsidR="00A532D6" w:rsidRPr="00575D2F" w:rsidRDefault="00A532D6" w:rsidP="00A532D6">
      <w:pPr>
        <w:jc w:val="both"/>
        <w:rPr>
          <w:rFonts w:asciiTheme="majorHAnsi" w:hAnsiTheme="majorHAnsi" w:cstheme="majorHAnsi"/>
          <w:i/>
          <w:iCs/>
          <w:sz w:val="20"/>
          <w:szCs w:val="20"/>
        </w:rPr>
      </w:pPr>
      <w:r w:rsidRPr="00575D2F">
        <w:rPr>
          <w:rFonts w:asciiTheme="majorHAnsi" w:eastAsia="Times New Roman" w:hAnsiTheme="majorHAnsi" w:cstheme="majorHAnsi"/>
          <w:sz w:val="20"/>
          <w:szCs w:val="20"/>
        </w:rPr>
        <w:t xml:space="preserve">Rodiklis: 1. </w:t>
      </w:r>
      <w:r w:rsidRPr="00575D2F">
        <w:rPr>
          <w:rFonts w:asciiTheme="majorHAnsi" w:hAnsiTheme="majorHAnsi" w:cstheme="majorHAnsi"/>
          <w:i/>
          <w:iCs/>
          <w:sz w:val="20"/>
          <w:szCs w:val="20"/>
        </w:rPr>
        <w:t xml:space="preserve">Gyventojų aktyvumas bendruose susirinkimuose, atsižvelgiant į pateiktų ir įgyvendintų pasiūlymų skaičių.  2. Paslaugų gavėjų pildant klausimyną  pateiktų ir įgyvendintų pasiūlymų </w:t>
      </w:r>
      <w:r w:rsidR="00022245">
        <w:rPr>
          <w:rFonts w:asciiTheme="majorHAnsi" w:hAnsiTheme="majorHAnsi" w:cstheme="majorHAnsi"/>
          <w:i/>
          <w:iCs/>
          <w:sz w:val="20"/>
          <w:szCs w:val="20"/>
        </w:rPr>
        <w:t>procentinė išraiška</w:t>
      </w:r>
      <w:r w:rsidRPr="00575D2F">
        <w:rPr>
          <w:rFonts w:asciiTheme="majorHAnsi" w:hAnsiTheme="majorHAnsi" w:cstheme="majorHAnsi"/>
          <w:i/>
          <w:iCs/>
          <w:sz w:val="20"/>
          <w:szCs w:val="20"/>
        </w:rPr>
        <w:t>.</w:t>
      </w:r>
    </w:p>
    <w:p w14:paraId="229012E6" w14:textId="77777777" w:rsidR="00A532D6" w:rsidRPr="00575D2F" w:rsidRDefault="00A532D6" w:rsidP="00A532D6">
      <w:pPr>
        <w:jc w:val="both"/>
        <w:rPr>
          <w:rFonts w:asciiTheme="majorHAnsi" w:hAnsiTheme="majorHAnsi" w:cstheme="majorHAnsi"/>
          <w:i/>
          <w:iCs/>
          <w:sz w:val="20"/>
          <w:szCs w:val="20"/>
        </w:rPr>
      </w:pPr>
    </w:p>
    <w:p w14:paraId="0C31CCC9" w14:textId="77777777" w:rsidR="00A532D6" w:rsidRPr="00575D2F" w:rsidRDefault="00A532D6" w:rsidP="00A532D6">
      <w:pPr>
        <w:jc w:val="both"/>
        <w:rPr>
          <w:rFonts w:asciiTheme="majorHAnsi" w:hAnsiTheme="majorHAnsi" w:cstheme="majorHAnsi"/>
          <w:sz w:val="20"/>
          <w:szCs w:val="20"/>
        </w:rPr>
      </w:pPr>
      <w:r w:rsidRPr="00575D2F">
        <w:rPr>
          <w:rFonts w:asciiTheme="majorHAnsi" w:hAnsiTheme="majorHAnsi" w:cstheme="majorHAnsi"/>
          <w:sz w:val="20"/>
          <w:szCs w:val="20"/>
        </w:rPr>
        <w:t xml:space="preserve">Rodiklis parodo paslaugų gavėjų įsitraukimą į paslaugų planavimo, teikimo ir vertinimo procesus bei jų pateiktų pasiūlymų įgyvendinimą. Rodiklio apskaičiavimas susideda iš dviejų dalių: gyventojų susirinkimų metu pateiktų pasiūlymų, susijusių su paslaugų planavimu, teikimu ir vertinimu, skaičius per 2024–2025 metus. Paslaugų gavėjų, pildant pasitenkinimo paslaugomis klausimynus, pateiktų ir įgyvendintų pasiūlymų dalis nuo visų pateiktų pasiūlymų, išreikšta procentais 2025 metais. </w:t>
      </w:r>
    </w:p>
    <w:p w14:paraId="094F0AF8" w14:textId="5436DC26" w:rsidR="00A532D6" w:rsidRPr="00575D2F" w:rsidRDefault="00D17AA0" w:rsidP="00A532D6">
      <w:pPr>
        <w:jc w:val="both"/>
        <w:rPr>
          <w:rFonts w:asciiTheme="majorHAnsi" w:hAnsiTheme="majorHAnsi" w:cstheme="majorHAnsi"/>
          <w:i/>
          <w:iCs/>
          <w:sz w:val="20"/>
          <w:szCs w:val="20"/>
        </w:rPr>
      </w:pPr>
      <w:r w:rsidRPr="00575D2F">
        <w:rPr>
          <w:rFonts w:asciiTheme="majorHAnsi" w:hAnsiTheme="majorHAnsi" w:cstheme="majorHAnsi"/>
          <w:sz w:val="20"/>
          <w:szCs w:val="20"/>
        </w:rPr>
        <w:t xml:space="preserve">Kauno kartų namai laikosi požiūrio, kad yra būtina įtraukti gyventojus į paslaugų planavimą todėl nuo 2021 m. yra skaičiuojami gyventojų pateikti pasiūlymai dėl teikiamų paslaugų kokybės gerinimo. Gyventojų pateiktų pasiūlymų dėl paslaugų tobulinimo skaičius nustatomas remiantis gyventojų susirinkimų protokolais. Visi paslaugų gavėjų teikti pasiūlymai įgyvendinti </w:t>
      </w:r>
      <w:r w:rsidRPr="00575D2F">
        <w:rPr>
          <w:rFonts w:asciiTheme="majorHAnsi" w:hAnsiTheme="majorHAnsi" w:cstheme="majorHAnsi"/>
          <w:b/>
          <w:bCs/>
          <w:sz w:val="20"/>
          <w:szCs w:val="20"/>
        </w:rPr>
        <w:t>100 procentų</w:t>
      </w:r>
      <w:r w:rsidR="003E4F1D">
        <w:rPr>
          <w:rFonts w:asciiTheme="majorHAnsi" w:hAnsiTheme="majorHAnsi" w:cstheme="majorHAnsi"/>
          <w:b/>
          <w:bCs/>
          <w:sz w:val="20"/>
          <w:szCs w:val="20"/>
        </w:rPr>
        <w:t>.</w:t>
      </w:r>
    </w:p>
    <w:p w14:paraId="5A70D13D" w14:textId="77777777" w:rsidR="008616CD" w:rsidRDefault="008616CD" w:rsidP="00A532D6">
      <w:pPr>
        <w:jc w:val="both"/>
        <w:rPr>
          <w:rFonts w:ascii="Calibri Light" w:hAnsi="Calibri Light" w:cs="Calibri Light"/>
          <w:i/>
          <w:iCs/>
          <w:sz w:val="20"/>
          <w:szCs w:val="20"/>
        </w:rPr>
      </w:pPr>
    </w:p>
    <w:p w14:paraId="6D89FC94" w14:textId="550275DF" w:rsidR="00A532D6" w:rsidRPr="00A532D6" w:rsidRDefault="00D17AA0" w:rsidP="00A532D6">
      <w:pPr>
        <w:jc w:val="both"/>
        <w:rPr>
          <w:rFonts w:ascii="Calibri Light" w:hAnsi="Calibri Light" w:cs="Calibri Light"/>
          <w:i/>
          <w:iCs/>
          <w:sz w:val="20"/>
          <w:szCs w:val="20"/>
        </w:rPr>
      </w:pPr>
      <w:r w:rsidRPr="00D17AA0">
        <w:rPr>
          <w:rFonts w:ascii="Calibri Light" w:hAnsi="Calibri Light" w:cs="Calibri Light"/>
          <w:i/>
          <w:iCs/>
          <w:sz w:val="20"/>
          <w:szCs w:val="20"/>
        </w:rPr>
        <w:t>5</w:t>
      </w:r>
      <w:r w:rsidR="00A532D6" w:rsidRPr="00D17AA0">
        <w:rPr>
          <w:rFonts w:ascii="Calibri Light" w:hAnsi="Calibri Light" w:cs="Calibri Light"/>
          <w:i/>
          <w:iCs/>
          <w:sz w:val="20"/>
          <w:szCs w:val="20"/>
        </w:rPr>
        <w:t xml:space="preserve"> pav.</w:t>
      </w:r>
    </w:p>
    <w:p w14:paraId="61ABB77E" w14:textId="77777777" w:rsidR="00A532D6" w:rsidRPr="00F248C2" w:rsidRDefault="00A532D6" w:rsidP="00A532D6">
      <w:pPr>
        <w:pStyle w:val="western"/>
        <w:spacing w:before="0" w:beforeAutospacing="0" w:after="0" w:line="240" w:lineRule="auto"/>
        <w:jc w:val="both"/>
        <w:rPr>
          <w:rFonts w:asciiTheme="majorHAnsi" w:hAnsiTheme="majorHAnsi" w:cstheme="majorHAnsi"/>
          <w:i/>
          <w:iCs/>
          <w:color w:val="auto"/>
          <w:sz w:val="20"/>
          <w:szCs w:val="20"/>
        </w:rPr>
      </w:pPr>
      <w:r>
        <w:rPr>
          <w:noProof/>
          <w14:ligatures w14:val="standardContextual"/>
        </w:rPr>
        <w:drawing>
          <wp:inline distT="0" distB="0" distL="0" distR="0" wp14:anchorId="7C8C4E6C" wp14:editId="3703F20B">
            <wp:extent cx="6165850" cy="2251881"/>
            <wp:effectExtent l="0" t="0" r="6350" b="15240"/>
            <wp:docPr id="518081287" name="Diagrama 1">
              <a:extLst xmlns:a="http://schemas.openxmlformats.org/drawingml/2006/main">
                <a:ext uri="{FF2B5EF4-FFF2-40B4-BE49-F238E27FC236}">
                  <a16:creationId xmlns:a16="http://schemas.microsoft.com/office/drawing/2014/main" id="{7D099848-0676-CBF4-6043-B71A4D1422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FD09E23" w14:textId="77777777" w:rsidR="00F07F3D" w:rsidRDefault="00A532D6" w:rsidP="00A532D6">
      <w:pPr>
        <w:pStyle w:val="western"/>
        <w:spacing w:before="0" w:beforeAutospacing="0" w:line="240" w:lineRule="auto"/>
        <w:jc w:val="both"/>
        <w:rPr>
          <w:rFonts w:asciiTheme="majorHAnsi" w:hAnsiTheme="majorHAnsi" w:cstheme="majorHAnsi"/>
          <w:color w:val="auto"/>
          <w:sz w:val="20"/>
          <w:szCs w:val="20"/>
        </w:rPr>
      </w:pPr>
      <w:r>
        <w:rPr>
          <w:rFonts w:asciiTheme="majorHAnsi" w:hAnsiTheme="majorHAnsi" w:cstheme="majorHAnsi"/>
          <w:color w:val="auto"/>
          <w:sz w:val="20"/>
          <w:szCs w:val="20"/>
        </w:rPr>
        <w:t xml:space="preserve"> </w:t>
      </w:r>
    </w:p>
    <w:p w14:paraId="1C36C766" w14:textId="755622DC" w:rsidR="00A532D6" w:rsidRPr="008616CD" w:rsidRDefault="00D17AA0" w:rsidP="00A532D6">
      <w:pPr>
        <w:pStyle w:val="western"/>
        <w:spacing w:before="0" w:beforeAutospacing="0" w:line="240" w:lineRule="auto"/>
        <w:jc w:val="both"/>
        <w:rPr>
          <w:rFonts w:asciiTheme="majorHAnsi" w:hAnsiTheme="majorHAnsi" w:cstheme="majorHAnsi"/>
          <w:color w:val="auto"/>
          <w:sz w:val="20"/>
          <w:szCs w:val="20"/>
        </w:rPr>
      </w:pPr>
      <w:r>
        <w:rPr>
          <w:rFonts w:asciiTheme="majorHAnsi" w:hAnsiTheme="majorHAnsi" w:cstheme="majorHAnsi"/>
          <w:sz w:val="20"/>
          <w:szCs w:val="20"/>
        </w:rPr>
        <w:t>5 pav. d</w:t>
      </w:r>
      <w:r w:rsidR="00A532D6" w:rsidRPr="00873BB0">
        <w:rPr>
          <w:rFonts w:asciiTheme="majorHAnsi" w:hAnsiTheme="majorHAnsi" w:cstheme="majorHAnsi"/>
          <w:sz w:val="20"/>
          <w:szCs w:val="20"/>
        </w:rPr>
        <w:t>iagramoje pateikiamas gyventojų pateiktų pasiūlymų skaičius 2024–2025 metais pagal du pateikimo būdus: pasiūlymus pagal pasitenkinimo teikiamomis paslaugomis klausimynus ir pasiūlymus susirinkimų metu.</w:t>
      </w:r>
      <w:r w:rsidR="00A532D6">
        <w:rPr>
          <w:rFonts w:asciiTheme="majorHAnsi" w:hAnsiTheme="majorHAnsi" w:cstheme="majorHAnsi"/>
          <w:sz w:val="20"/>
          <w:szCs w:val="20"/>
        </w:rPr>
        <w:t xml:space="preserve"> </w:t>
      </w:r>
      <w:r w:rsidR="00A532D6" w:rsidRPr="00873BB0">
        <w:rPr>
          <w:rFonts w:asciiTheme="majorHAnsi" w:hAnsiTheme="majorHAnsi" w:cstheme="majorHAnsi"/>
          <w:sz w:val="20"/>
          <w:szCs w:val="20"/>
        </w:rPr>
        <w:t>2024 m. pagal pasitenkinimo teikiamomis paslaugomis klausimynus buvo pateikti 6 pasiūlymai, o susirinkimų metu – 13 pasiūlymų. Tais metais daugiau pasiūlymų gyventojai pateikė susirinkimų metu.</w:t>
      </w:r>
      <w:r w:rsidR="00A532D6">
        <w:rPr>
          <w:rFonts w:asciiTheme="majorHAnsi" w:hAnsiTheme="majorHAnsi" w:cstheme="majorHAnsi"/>
          <w:sz w:val="20"/>
          <w:szCs w:val="20"/>
        </w:rPr>
        <w:t xml:space="preserve"> </w:t>
      </w:r>
      <w:r w:rsidR="00A532D6" w:rsidRPr="00873BB0">
        <w:rPr>
          <w:rFonts w:asciiTheme="majorHAnsi" w:hAnsiTheme="majorHAnsi" w:cstheme="majorHAnsi"/>
          <w:sz w:val="20"/>
          <w:szCs w:val="20"/>
        </w:rPr>
        <w:t>2025 m. situacija pasikeitė – pagal pasitenkinimo teikiamomis paslaugomis klausimynus pateiktų pasiūlymų skaičius padidėjo iki 10, o susirinkimų metu sumažėjo iki 9. Tai rodo, kad gyventojai aktyviau pradėjo teikti pasiūlymus pildydami klausimynus, o pasiūlymų susirinkimuose šiek tiek sumažėjo</w:t>
      </w:r>
      <w:r w:rsidR="00FF6A52">
        <w:rPr>
          <w:rFonts w:asciiTheme="majorHAnsi" w:hAnsiTheme="majorHAnsi" w:cstheme="majorHAnsi"/>
          <w:sz w:val="20"/>
          <w:szCs w:val="20"/>
        </w:rPr>
        <w:t>.</w:t>
      </w:r>
      <w:r w:rsidR="00A532D6" w:rsidRPr="00873BB0">
        <w:rPr>
          <w:rFonts w:asciiTheme="majorHAnsi" w:hAnsiTheme="majorHAnsi" w:cstheme="majorHAnsi"/>
          <w:sz w:val="20"/>
          <w:szCs w:val="20"/>
        </w:rPr>
        <w:t xml:space="preserve"> 2025 m. gyventojų įsitraukimas per klausimynus išaugo. Pagrindiniai pasiūlymai:  maisto raciono pakeitimas (5 pasiūlymai), daugiau kineziterapijos užsiėmimų (2 pasiūlymai), pakeisti lankymo valandas, dažniau nuvežti pas gimines, daugia</w:t>
      </w:r>
      <w:r w:rsidR="003E4F1D">
        <w:rPr>
          <w:rFonts w:asciiTheme="majorHAnsi" w:hAnsiTheme="majorHAnsi" w:cstheme="majorHAnsi"/>
          <w:sz w:val="20"/>
          <w:szCs w:val="20"/>
        </w:rPr>
        <w:t>u</w:t>
      </w:r>
      <w:r w:rsidR="00A532D6" w:rsidRPr="00873BB0">
        <w:rPr>
          <w:rFonts w:asciiTheme="majorHAnsi" w:hAnsiTheme="majorHAnsi" w:cstheme="majorHAnsi"/>
          <w:sz w:val="20"/>
          <w:szCs w:val="20"/>
        </w:rPr>
        <w:t xml:space="preserve"> medicinos paslaugų.</w:t>
      </w:r>
    </w:p>
    <w:p w14:paraId="2DE64BB4" w14:textId="279C2780" w:rsidR="00A532D6" w:rsidRPr="00C0607C" w:rsidRDefault="00A532D6" w:rsidP="00A532D6">
      <w:pPr>
        <w:pStyle w:val="western"/>
        <w:spacing w:before="0" w:beforeAutospacing="0" w:line="240" w:lineRule="auto"/>
        <w:jc w:val="both"/>
        <w:rPr>
          <w:rFonts w:asciiTheme="majorHAnsi" w:hAnsiTheme="majorHAnsi" w:cstheme="majorHAnsi"/>
          <w:b/>
          <w:bCs/>
          <w:sz w:val="20"/>
          <w:szCs w:val="20"/>
        </w:rPr>
      </w:pPr>
      <w:r w:rsidRPr="00C0607C">
        <w:rPr>
          <w:rFonts w:asciiTheme="majorHAnsi" w:hAnsiTheme="majorHAnsi" w:cstheme="majorHAnsi"/>
          <w:b/>
          <w:bCs/>
          <w:sz w:val="20"/>
          <w:szCs w:val="20"/>
        </w:rPr>
        <w:t>Išvados:</w:t>
      </w:r>
    </w:p>
    <w:p w14:paraId="3066D865" w14:textId="56BD6B60" w:rsidR="00A532D6" w:rsidRPr="00C0607C" w:rsidRDefault="00C0607C" w:rsidP="00022245">
      <w:pPr>
        <w:pStyle w:val="western"/>
        <w:numPr>
          <w:ilvl w:val="0"/>
          <w:numId w:val="3"/>
        </w:numPr>
        <w:spacing w:before="0" w:beforeAutospacing="0" w:line="240" w:lineRule="auto"/>
        <w:ind w:left="284"/>
        <w:jc w:val="both"/>
        <w:rPr>
          <w:rFonts w:asciiTheme="majorHAnsi" w:hAnsiTheme="majorHAnsi" w:cstheme="majorHAnsi"/>
          <w:sz w:val="20"/>
          <w:szCs w:val="20"/>
        </w:rPr>
      </w:pPr>
      <w:r w:rsidRPr="00C0607C">
        <w:rPr>
          <w:rFonts w:asciiTheme="majorHAnsi" w:hAnsiTheme="majorHAnsi" w:cstheme="majorHAnsi"/>
          <w:sz w:val="20"/>
          <w:szCs w:val="20"/>
        </w:rPr>
        <w:t>Bendras gyventojų pasiūlymų skaičius 2025 m. nepakito</w:t>
      </w:r>
      <w:r w:rsidR="00E0705D">
        <w:rPr>
          <w:rFonts w:asciiTheme="majorHAnsi" w:hAnsiTheme="majorHAnsi" w:cstheme="majorHAnsi"/>
          <w:sz w:val="20"/>
          <w:szCs w:val="20"/>
        </w:rPr>
        <w:t xml:space="preserve">, </w:t>
      </w:r>
      <w:r w:rsidRPr="00C0607C">
        <w:rPr>
          <w:rFonts w:asciiTheme="majorHAnsi" w:hAnsiTheme="majorHAnsi" w:cstheme="majorHAnsi"/>
          <w:sz w:val="20"/>
          <w:szCs w:val="20"/>
        </w:rPr>
        <w:t>tačiau pasikeitė pasiūlymų teikimo būd</w:t>
      </w:r>
      <w:r w:rsidR="00022245">
        <w:rPr>
          <w:rFonts w:asciiTheme="majorHAnsi" w:hAnsiTheme="majorHAnsi" w:cstheme="majorHAnsi"/>
          <w:sz w:val="20"/>
          <w:szCs w:val="20"/>
        </w:rPr>
        <w:t>as</w:t>
      </w:r>
      <w:r w:rsidRPr="00C0607C">
        <w:rPr>
          <w:rFonts w:asciiTheme="majorHAnsi" w:hAnsiTheme="majorHAnsi" w:cstheme="majorHAnsi"/>
          <w:sz w:val="20"/>
          <w:szCs w:val="20"/>
        </w:rPr>
        <w:t>. 2024 m. dominavo pasiūlymai teikti susirinkimų metu</w:t>
      </w:r>
      <w:r w:rsidR="00E0705D">
        <w:rPr>
          <w:rFonts w:asciiTheme="majorHAnsi" w:hAnsiTheme="majorHAnsi" w:cstheme="majorHAnsi"/>
          <w:sz w:val="20"/>
          <w:szCs w:val="20"/>
        </w:rPr>
        <w:t xml:space="preserve">, </w:t>
      </w:r>
      <w:r w:rsidRPr="00C0607C">
        <w:rPr>
          <w:rFonts w:asciiTheme="majorHAnsi" w:hAnsiTheme="majorHAnsi" w:cstheme="majorHAnsi"/>
          <w:sz w:val="20"/>
          <w:szCs w:val="20"/>
        </w:rPr>
        <w:t>o 2025 m. persvara persikėlė į klausimynus</w:t>
      </w:r>
      <w:r w:rsidR="00E0705D">
        <w:rPr>
          <w:rFonts w:asciiTheme="majorHAnsi" w:hAnsiTheme="majorHAnsi" w:cstheme="majorHAnsi"/>
          <w:sz w:val="20"/>
          <w:szCs w:val="20"/>
        </w:rPr>
        <w:t xml:space="preserve">. </w:t>
      </w:r>
      <w:r w:rsidRPr="00C0607C">
        <w:rPr>
          <w:rFonts w:asciiTheme="majorHAnsi" w:hAnsiTheme="majorHAnsi" w:cstheme="majorHAnsi"/>
          <w:sz w:val="20"/>
          <w:szCs w:val="20"/>
        </w:rPr>
        <w:t xml:space="preserve">Tai rodo ne tiek bendro aktyvumo augimą, kiek </w:t>
      </w:r>
      <w:r w:rsidR="003E4F1D">
        <w:rPr>
          <w:rFonts w:asciiTheme="majorHAnsi" w:hAnsiTheme="majorHAnsi" w:cstheme="majorHAnsi"/>
          <w:sz w:val="20"/>
          <w:szCs w:val="20"/>
        </w:rPr>
        <w:t>formos</w:t>
      </w:r>
      <w:r w:rsidRPr="00C0607C">
        <w:rPr>
          <w:rFonts w:asciiTheme="majorHAnsi" w:hAnsiTheme="majorHAnsi" w:cstheme="majorHAnsi"/>
          <w:sz w:val="20"/>
          <w:szCs w:val="20"/>
        </w:rPr>
        <w:t xml:space="preserve"> pasikeitimą – gyventojai vis dažniau renkasi anoniminę ar individualią pasiūlymų teikimo formą, o ne kolektyvinę (susirinkimų) formą.</w:t>
      </w:r>
    </w:p>
    <w:p w14:paraId="156F2167" w14:textId="0EADD418" w:rsidR="00A532D6" w:rsidRPr="00C0607C" w:rsidRDefault="00C0607C" w:rsidP="00022245">
      <w:pPr>
        <w:pStyle w:val="western"/>
        <w:numPr>
          <w:ilvl w:val="0"/>
          <w:numId w:val="3"/>
        </w:numPr>
        <w:spacing w:before="0" w:beforeAutospacing="0" w:after="160" w:line="240" w:lineRule="auto"/>
        <w:ind w:left="284"/>
        <w:jc w:val="both"/>
        <w:rPr>
          <w:rFonts w:asciiTheme="majorHAnsi" w:hAnsiTheme="majorHAnsi" w:cstheme="majorHAnsi"/>
          <w:b/>
          <w:bCs/>
        </w:rPr>
      </w:pPr>
      <w:r w:rsidRPr="00C0607C">
        <w:rPr>
          <w:rFonts w:asciiTheme="majorHAnsi" w:hAnsiTheme="majorHAnsi" w:cstheme="majorHAnsi"/>
          <w:sz w:val="20"/>
          <w:szCs w:val="20"/>
        </w:rPr>
        <w:t>Pagrindinių pasiūlymų turinys atskleidžia, kad gyventojų poreikiai koncentruojasi į kasdienio gyvenimo kokybę ir ryšį su artimaisiais, o ne į paslaugų organizavimo ar administracinius klausimus. Dominuoja maisto raciono keitimas (5 pasiūlymai) ir kineziterapijos plėtra (2 pasiūlymai), taip pat lankymo valandų ir v</w:t>
      </w:r>
      <w:r w:rsidR="00E0705D">
        <w:rPr>
          <w:rFonts w:asciiTheme="majorHAnsi" w:hAnsiTheme="majorHAnsi" w:cstheme="majorHAnsi"/>
          <w:sz w:val="20"/>
          <w:szCs w:val="20"/>
        </w:rPr>
        <w:t>ykimo</w:t>
      </w:r>
      <w:r w:rsidRPr="00C0607C">
        <w:rPr>
          <w:rFonts w:asciiTheme="majorHAnsi" w:hAnsiTheme="majorHAnsi" w:cstheme="majorHAnsi"/>
          <w:sz w:val="20"/>
          <w:szCs w:val="20"/>
        </w:rPr>
        <w:t xml:space="preserve"> pas gimines klausimai. Tai rodo, kad gyventojams svarbiausia – fizinė savijauta, mityba ir socialiniai ryšiai su šeima, todėl šios sritys galėtų tapti prioritetu planuojant 2026 m. paslaugų tobulinimo priemones.</w:t>
      </w:r>
      <w:r w:rsidR="00A532D6" w:rsidRPr="00C0607C">
        <w:rPr>
          <w:rFonts w:asciiTheme="majorHAnsi" w:hAnsiTheme="majorHAnsi" w:cstheme="majorHAnsi"/>
          <w:b/>
          <w:bCs/>
        </w:rPr>
        <w:br w:type="page"/>
      </w:r>
    </w:p>
    <w:p w14:paraId="7032F981" w14:textId="363698B4" w:rsidR="00813B63" w:rsidRPr="00992883" w:rsidRDefault="00813B63" w:rsidP="00813B63">
      <w:pPr>
        <w:rPr>
          <w:rFonts w:ascii="Calibri Light" w:hAnsi="Calibri Light" w:cs="Calibri Light"/>
          <w:b/>
          <w:bCs/>
          <w:i/>
          <w:iCs/>
          <w:sz w:val="20"/>
          <w:szCs w:val="20"/>
        </w:rPr>
      </w:pPr>
      <w:r w:rsidRPr="00992883">
        <w:rPr>
          <w:rFonts w:ascii="Calibri Light" w:eastAsia="Times New Roman" w:hAnsi="Calibri Light" w:cs="Calibri Light"/>
          <w:b/>
          <w:bCs/>
        </w:rPr>
        <w:lastRenderedPageBreak/>
        <w:t>PASLAUGŲ GAVĖJŲ ĮGALINIMO REZULTATAI</w:t>
      </w:r>
      <w:r w:rsidR="00992883">
        <w:rPr>
          <w:rFonts w:ascii="Calibri Light" w:eastAsia="Times New Roman" w:hAnsi="Calibri Light" w:cs="Calibri Light"/>
          <w:b/>
          <w:bCs/>
        </w:rPr>
        <w:t>, 2025 metai</w:t>
      </w:r>
      <w:r w:rsidRPr="00992883">
        <w:rPr>
          <w:rFonts w:ascii="Calibri Light" w:eastAsia="Times New Roman" w:hAnsi="Calibri Light" w:cs="Calibri Light"/>
          <w:b/>
          <w:bCs/>
        </w:rPr>
        <w:t xml:space="preserve"> </w:t>
      </w:r>
    </w:p>
    <w:p w14:paraId="6E9AB47C" w14:textId="77777777" w:rsidR="00813B63" w:rsidRPr="00992883" w:rsidRDefault="00813B63" w:rsidP="00813B63">
      <w:pPr>
        <w:rPr>
          <w:rFonts w:ascii="Calibri Light" w:eastAsia="Times New Roman" w:hAnsi="Calibri Light" w:cs="Calibri Light"/>
          <w:sz w:val="20"/>
          <w:szCs w:val="20"/>
        </w:rPr>
      </w:pPr>
    </w:p>
    <w:p w14:paraId="400AE52B" w14:textId="77777777" w:rsidR="00813B63" w:rsidRPr="00992883" w:rsidRDefault="00813B63" w:rsidP="00813B63">
      <w:pPr>
        <w:jc w:val="both"/>
        <w:rPr>
          <w:rFonts w:ascii="Calibri Light" w:eastAsia="Times New Roman" w:hAnsi="Calibri Light" w:cs="Calibri Light"/>
          <w:sz w:val="22"/>
          <w:szCs w:val="22"/>
        </w:rPr>
      </w:pPr>
      <w:r w:rsidRPr="00992883">
        <w:rPr>
          <w:rFonts w:ascii="Calibri Light" w:eastAsia="Times New Roman" w:hAnsi="Calibri Light" w:cs="Calibri Light"/>
          <w:sz w:val="22"/>
          <w:szCs w:val="22"/>
        </w:rPr>
        <w:t xml:space="preserve">29 KRITERIJUS: Socialinių paslaugų teikėjas taiko specifines priemones, kad personalas ir paslaugų vartotojai suprastų, didintų ir gerintų paslaugų gavėjų įgalinimą. </w:t>
      </w:r>
    </w:p>
    <w:p w14:paraId="7D0680A7" w14:textId="77777777" w:rsidR="00813B63" w:rsidRPr="00992883" w:rsidRDefault="00813B63" w:rsidP="00813B63">
      <w:pPr>
        <w:jc w:val="both"/>
        <w:rPr>
          <w:rFonts w:ascii="Calibri Light" w:eastAsia="Times New Roman" w:hAnsi="Calibri Light" w:cs="Calibri Light"/>
          <w:sz w:val="22"/>
          <w:szCs w:val="22"/>
        </w:rPr>
      </w:pPr>
    </w:p>
    <w:p w14:paraId="0E2C4336" w14:textId="77777777" w:rsidR="00992883" w:rsidRPr="00575D2F" w:rsidRDefault="00992883" w:rsidP="00992883">
      <w:pPr>
        <w:pBdr>
          <w:top w:val="nil"/>
          <w:left w:val="nil"/>
          <w:bottom w:val="nil"/>
          <w:right w:val="nil"/>
          <w:between w:val="nil"/>
        </w:pBdr>
        <w:rPr>
          <w:rFonts w:ascii="Calibri Light" w:hAnsi="Calibri Light" w:cs="Calibri Light"/>
          <w:color w:val="000000"/>
          <w:sz w:val="20"/>
          <w:szCs w:val="20"/>
        </w:rPr>
      </w:pPr>
      <w:r w:rsidRPr="00575D2F">
        <w:rPr>
          <w:rFonts w:ascii="Calibri Light" w:hAnsi="Calibri Light" w:cs="Calibri Light"/>
          <w:color w:val="000000"/>
          <w:sz w:val="20"/>
          <w:szCs w:val="20"/>
        </w:rPr>
        <w:t xml:space="preserve">Rodiklis: </w:t>
      </w:r>
      <w:r w:rsidRPr="00575D2F">
        <w:rPr>
          <w:rFonts w:ascii="Calibri Light" w:hAnsi="Calibri Light" w:cs="Calibri Light"/>
          <w:i/>
          <w:iCs/>
          <w:color w:val="000000"/>
          <w:sz w:val="20"/>
          <w:szCs w:val="20"/>
        </w:rPr>
        <w:t>Gyventojų, aktyviai dalyvavusių ISGP sudaryme, procentinė dalis nuo visų gyventojų skaičiaus.</w:t>
      </w:r>
      <w:r w:rsidRPr="00575D2F">
        <w:rPr>
          <w:rFonts w:ascii="Calibri Light" w:hAnsi="Calibri Light" w:cs="Calibri Light"/>
          <w:color w:val="000000"/>
          <w:sz w:val="20"/>
          <w:szCs w:val="20"/>
        </w:rPr>
        <w:t xml:space="preserve"> </w:t>
      </w:r>
    </w:p>
    <w:p w14:paraId="531B20AB" w14:textId="77777777" w:rsidR="00992883" w:rsidRPr="00575D2F" w:rsidRDefault="00992883" w:rsidP="00992883">
      <w:pPr>
        <w:pBdr>
          <w:top w:val="nil"/>
          <w:left w:val="nil"/>
          <w:bottom w:val="nil"/>
          <w:right w:val="nil"/>
          <w:between w:val="nil"/>
        </w:pBdr>
        <w:rPr>
          <w:rFonts w:ascii="Calibri Light" w:hAnsi="Calibri Light" w:cs="Calibri Light"/>
          <w:color w:val="000000"/>
          <w:sz w:val="20"/>
          <w:szCs w:val="20"/>
        </w:rPr>
      </w:pPr>
    </w:p>
    <w:p w14:paraId="56FC2DCB" w14:textId="481FDC78" w:rsidR="00992883" w:rsidRPr="00575D2F" w:rsidRDefault="00992883" w:rsidP="00992883">
      <w:pPr>
        <w:pBdr>
          <w:top w:val="nil"/>
          <w:left w:val="nil"/>
          <w:bottom w:val="nil"/>
          <w:right w:val="nil"/>
          <w:between w:val="nil"/>
        </w:pBdr>
        <w:rPr>
          <w:rFonts w:ascii="Calibri Light" w:hAnsi="Calibri Light" w:cs="Calibri Light"/>
          <w:color w:val="000000"/>
          <w:sz w:val="20"/>
          <w:szCs w:val="20"/>
        </w:rPr>
      </w:pPr>
      <w:r w:rsidRPr="00575D2F">
        <w:rPr>
          <w:rFonts w:ascii="Calibri Light" w:hAnsi="Calibri Light" w:cs="Calibri Light"/>
          <w:color w:val="000000"/>
          <w:sz w:val="20"/>
          <w:szCs w:val="20"/>
        </w:rPr>
        <w:t>Rodiklio apskaičiavimo formulė: gyventojų, dalyvavusių ISGP sudaryme pagal jų įsitraukimo pobūdį, procentinė dalis nuo visų gyventojų skaičiaus 2024-2025 m. Rezultata</w:t>
      </w:r>
      <w:r w:rsidR="003E4F1D">
        <w:rPr>
          <w:rFonts w:ascii="Calibri Light" w:hAnsi="Calibri Light" w:cs="Calibri Light"/>
          <w:color w:val="000000"/>
          <w:sz w:val="20"/>
          <w:szCs w:val="20"/>
        </w:rPr>
        <w:t>i</w:t>
      </w:r>
      <w:r w:rsidRPr="00575D2F">
        <w:rPr>
          <w:rFonts w:ascii="Calibri Light" w:hAnsi="Calibri Light" w:cs="Calibri Light"/>
          <w:color w:val="000000"/>
          <w:sz w:val="20"/>
          <w:szCs w:val="20"/>
        </w:rPr>
        <w:t xml:space="preserve"> vertinami vieną kartą metų pabaigoje.</w:t>
      </w:r>
    </w:p>
    <w:p w14:paraId="1F3D2E01" w14:textId="1E687E96" w:rsidR="00992883" w:rsidRPr="00575D2F" w:rsidRDefault="00992883" w:rsidP="00992883">
      <w:pPr>
        <w:pBdr>
          <w:top w:val="nil"/>
          <w:left w:val="nil"/>
          <w:bottom w:val="nil"/>
          <w:right w:val="nil"/>
          <w:between w:val="nil"/>
        </w:pBdr>
        <w:rPr>
          <w:rFonts w:ascii="Calibri Light" w:hAnsi="Calibri Light" w:cs="Calibri Light"/>
          <w:sz w:val="20"/>
          <w:szCs w:val="20"/>
        </w:rPr>
      </w:pPr>
      <w:r w:rsidRPr="00575D2F">
        <w:rPr>
          <w:rFonts w:ascii="Calibri Light" w:hAnsi="Calibri Light" w:cs="Calibri Light"/>
          <w:color w:val="000000"/>
          <w:sz w:val="20"/>
          <w:szCs w:val="20"/>
        </w:rPr>
        <w:t>Surinkti duomenys rodo, kad 2025 metais iš 47-ų paslaugų gavėjų</w:t>
      </w:r>
      <w:r w:rsidR="005E5DD9">
        <w:rPr>
          <w:rFonts w:ascii="Calibri Light" w:hAnsi="Calibri Light" w:cs="Calibri Light"/>
          <w:color w:val="000000"/>
          <w:sz w:val="20"/>
          <w:szCs w:val="20"/>
        </w:rPr>
        <w:t xml:space="preserve"> (100 proc.)</w:t>
      </w:r>
      <w:r w:rsidRPr="00575D2F">
        <w:rPr>
          <w:rFonts w:ascii="Calibri Light" w:hAnsi="Calibri Light" w:cs="Calibri Light"/>
          <w:color w:val="000000"/>
          <w:sz w:val="20"/>
          <w:szCs w:val="20"/>
        </w:rPr>
        <w:t xml:space="preserve">, 47 proc. aktyviai dalyvavo ISGP sudaryme ir įgyvendinime. Jiems gerai sekėsi reikšti savo nuomonę, siekti išsikeltų tikslų. </w:t>
      </w:r>
    </w:p>
    <w:p w14:paraId="091A99BC" w14:textId="77777777" w:rsidR="00992883" w:rsidRPr="00992883" w:rsidRDefault="00992883" w:rsidP="00992883">
      <w:pPr>
        <w:pBdr>
          <w:top w:val="nil"/>
          <w:left w:val="nil"/>
          <w:bottom w:val="nil"/>
          <w:right w:val="nil"/>
          <w:between w:val="nil"/>
        </w:pBdr>
        <w:rPr>
          <w:rFonts w:ascii="Calibri Light" w:hAnsi="Calibri Light" w:cs="Calibri Light"/>
          <w:sz w:val="20"/>
          <w:szCs w:val="20"/>
        </w:rPr>
      </w:pPr>
    </w:p>
    <w:p w14:paraId="5C886BB4" w14:textId="104CA34F" w:rsidR="00992883" w:rsidRPr="00992883" w:rsidRDefault="00575D2F" w:rsidP="00992883">
      <w:pPr>
        <w:pBdr>
          <w:top w:val="nil"/>
          <w:left w:val="nil"/>
          <w:bottom w:val="nil"/>
          <w:right w:val="nil"/>
          <w:between w:val="nil"/>
        </w:pBdr>
        <w:rPr>
          <w:rFonts w:ascii="Calibri Light" w:hAnsi="Calibri Light" w:cs="Calibri Light"/>
          <w:i/>
          <w:iCs/>
          <w:color w:val="000000"/>
          <w:sz w:val="20"/>
          <w:szCs w:val="20"/>
        </w:rPr>
      </w:pPr>
      <w:r>
        <w:rPr>
          <w:rFonts w:ascii="Calibri Light" w:hAnsi="Calibri Light" w:cs="Calibri Light"/>
          <w:i/>
          <w:iCs/>
          <w:color w:val="000000"/>
          <w:sz w:val="20"/>
          <w:szCs w:val="20"/>
        </w:rPr>
        <w:t xml:space="preserve">6 pav. </w:t>
      </w:r>
    </w:p>
    <w:p w14:paraId="7898D13F" w14:textId="77777777" w:rsidR="00992883" w:rsidRDefault="00992883" w:rsidP="00992883">
      <w:r>
        <w:rPr>
          <w:noProof/>
        </w:rPr>
        <w:drawing>
          <wp:inline distT="0" distB="0" distL="0" distR="0" wp14:anchorId="5A167CF7" wp14:editId="552C601A">
            <wp:extent cx="6086475" cy="2715905"/>
            <wp:effectExtent l="0" t="0" r="0" b="8255"/>
            <wp:docPr id="5081572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6104285" cy="2723852"/>
                    </a:xfrm>
                    <a:prstGeom prst="rect">
                      <a:avLst/>
                    </a:prstGeom>
                    <a:ln/>
                  </pic:spPr>
                </pic:pic>
              </a:graphicData>
            </a:graphic>
          </wp:inline>
        </w:drawing>
      </w:r>
    </w:p>
    <w:p w14:paraId="2FAB1B7C" w14:textId="77777777" w:rsidR="00992883" w:rsidRDefault="00992883" w:rsidP="00992883">
      <w:pPr>
        <w:rPr>
          <w:color w:val="000000"/>
          <w:sz w:val="20"/>
          <w:szCs w:val="20"/>
        </w:rPr>
      </w:pPr>
    </w:p>
    <w:p w14:paraId="29AFD8A2" w14:textId="009F03F9" w:rsidR="00992883" w:rsidRPr="00575D2F" w:rsidRDefault="00575D2F" w:rsidP="00074D69">
      <w:pPr>
        <w:jc w:val="both"/>
        <w:rPr>
          <w:rFonts w:ascii="Calibri Light" w:hAnsi="Calibri Light" w:cs="Calibri Light"/>
          <w:sz w:val="20"/>
          <w:szCs w:val="20"/>
        </w:rPr>
      </w:pPr>
      <w:r w:rsidRPr="00575D2F">
        <w:rPr>
          <w:rFonts w:ascii="Calibri Light" w:hAnsi="Calibri Light" w:cs="Calibri Light"/>
          <w:color w:val="000000"/>
          <w:sz w:val="20"/>
          <w:szCs w:val="20"/>
        </w:rPr>
        <w:t>6 pav. d</w:t>
      </w:r>
      <w:r w:rsidR="00992883" w:rsidRPr="00575D2F">
        <w:rPr>
          <w:rFonts w:ascii="Calibri Light" w:hAnsi="Calibri Light" w:cs="Calibri Light"/>
          <w:color w:val="000000"/>
          <w:sz w:val="20"/>
          <w:szCs w:val="20"/>
        </w:rPr>
        <w:t xml:space="preserve">iagramoje pateikiamas 2024–2025 m. gyventojų aktyvaus dalyvavimo rengiant individualius socialinės globos planus (ISGP) palyginimas procentine išraiška. Analizuojami duomenys rodo teigiamą pokytį – </w:t>
      </w:r>
      <w:r w:rsidR="00074D69" w:rsidRPr="00575D2F">
        <w:rPr>
          <w:rFonts w:ascii="Calibri Light" w:hAnsi="Calibri Light" w:cs="Calibri Light"/>
          <w:color w:val="000000"/>
          <w:sz w:val="20"/>
          <w:szCs w:val="20"/>
        </w:rPr>
        <w:t xml:space="preserve"> nuo 16 proc. 2024 m. iki 47 proc. </w:t>
      </w:r>
      <w:r w:rsidR="00992883" w:rsidRPr="00575D2F">
        <w:rPr>
          <w:rFonts w:ascii="Calibri Light" w:hAnsi="Calibri Light" w:cs="Calibri Light"/>
          <w:color w:val="000000"/>
          <w:sz w:val="20"/>
          <w:szCs w:val="20"/>
        </w:rPr>
        <w:t>2025 m. padidėjo aktyviai ISGP rengime dalyvavusių gyventojų dalis. Šį rezultatą lėmė gyventojų kaita, kryptingas darbuotojų darbas stiprinant gyventojų įsitraukimą bei aktyvesnis artimųjų dalyvavimas planavimo ir tikslų įgyvendinimo procese.</w:t>
      </w:r>
      <w:r w:rsidR="00074D69" w:rsidRPr="00575D2F">
        <w:rPr>
          <w:rFonts w:ascii="Calibri Light" w:hAnsi="Calibri Light" w:cs="Calibri Light"/>
          <w:color w:val="000000"/>
          <w:sz w:val="20"/>
          <w:szCs w:val="20"/>
        </w:rPr>
        <w:t xml:space="preserve"> </w:t>
      </w:r>
      <w:r w:rsidR="00992883" w:rsidRPr="00575D2F">
        <w:rPr>
          <w:rFonts w:ascii="Calibri Light" w:hAnsi="Calibri Light" w:cs="Calibri Light"/>
          <w:color w:val="000000"/>
          <w:sz w:val="20"/>
          <w:szCs w:val="20"/>
        </w:rPr>
        <w:t>Rodiklių augimas leidžia teigti, kad įstaigoje nuosekliai stiprinamas gyventojų įgalinimas ir savarankiškumo skatinimas. Vis daugiau gyventojų dalyvauja nustatant savo poreikius, formuluojant individualius tikslus ir priimant sprendimus, susijusius su jiems teikiamomis socialinės globos paslaugomis. Tai atitinka į asmenį orientuotos socialinės globos principus ir užtikrina didesnį paslaugų individualizavimą.</w:t>
      </w:r>
      <w:r w:rsidR="00074D69" w:rsidRPr="00575D2F">
        <w:rPr>
          <w:rFonts w:ascii="Calibri Light" w:hAnsi="Calibri Light" w:cs="Calibri Light"/>
          <w:color w:val="000000"/>
          <w:sz w:val="20"/>
          <w:szCs w:val="20"/>
        </w:rPr>
        <w:t xml:space="preserve"> </w:t>
      </w:r>
      <w:r w:rsidR="00992883" w:rsidRPr="00575D2F">
        <w:rPr>
          <w:rFonts w:ascii="Calibri Light" w:hAnsi="Calibri Light" w:cs="Calibri Light"/>
          <w:color w:val="000000"/>
          <w:sz w:val="20"/>
          <w:szCs w:val="20"/>
        </w:rPr>
        <w:t>Taip pat pastebimas  gyventojų iniciatyvumas prisidedant prie įstaigos aplinkos puoselėjimo, estetinės išvaizdos gerinimo. Tai rodo didėjantį gyventojų atsakomybės jausmą, įsitraukimą į veiklas bei norą aktyviai dalyvauti kuriant saugią ir jaukią gyvenamąją aplinką.</w:t>
      </w:r>
      <w:r w:rsidR="00074D69" w:rsidRPr="00575D2F">
        <w:rPr>
          <w:rFonts w:ascii="Calibri Light" w:hAnsi="Calibri Light" w:cs="Calibri Light"/>
          <w:color w:val="000000"/>
          <w:sz w:val="20"/>
          <w:szCs w:val="20"/>
        </w:rPr>
        <w:t xml:space="preserve"> </w:t>
      </w:r>
      <w:r w:rsidR="00992883" w:rsidRPr="00575D2F">
        <w:rPr>
          <w:rFonts w:ascii="Calibri Light" w:hAnsi="Calibri Light" w:cs="Calibri Light"/>
          <w:color w:val="000000"/>
          <w:sz w:val="20"/>
          <w:szCs w:val="20"/>
        </w:rPr>
        <w:t xml:space="preserve">Reikšmingą įtaką teigiamiems pokyčiams turėjo stiprėjantis bendradarbiavimas tarp gyventojų, jų artimųjų ir darbuotojų komandos. Artimųjų įtraukimas į ISGP rengimą ir įgyvendinimą sudaro sąlygas geriau pažinti gyventojo poreikius, užtikrinti nuoseklų emocinį palaikymą ir efektyviau siekti numatytų tikslų. Komandinis darbas didina pasitikėjimą priimamais sprendimais, stiprina </w:t>
      </w:r>
      <w:r w:rsidR="003E4F1D">
        <w:rPr>
          <w:rFonts w:ascii="Calibri Light" w:hAnsi="Calibri Light" w:cs="Calibri Light"/>
          <w:color w:val="000000"/>
          <w:sz w:val="20"/>
          <w:szCs w:val="20"/>
        </w:rPr>
        <w:t>įsitraukimą</w:t>
      </w:r>
      <w:r w:rsidR="00992883" w:rsidRPr="00575D2F">
        <w:rPr>
          <w:rFonts w:ascii="Calibri Light" w:hAnsi="Calibri Light" w:cs="Calibri Light"/>
          <w:color w:val="000000"/>
          <w:sz w:val="20"/>
          <w:szCs w:val="20"/>
        </w:rPr>
        <w:t xml:space="preserve"> ir prisideda prie kokybiškesnių socialinės globos paslaugų teikimo.</w:t>
      </w:r>
    </w:p>
    <w:p w14:paraId="75920155" w14:textId="77777777" w:rsidR="00F07F3D" w:rsidRDefault="00F07F3D">
      <w:pPr>
        <w:spacing w:after="160" w:line="259" w:lineRule="auto"/>
        <w:rPr>
          <w:rFonts w:asciiTheme="majorHAnsi" w:eastAsia="Times New Roman" w:hAnsiTheme="majorHAnsi" w:cstheme="majorHAnsi"/>
          <w:b/>
          <w:bCs/>
          <w:sz w:val="20"/>
          <w:szCs w:val="20"/>
        </w:rPr>
      </w:pPr>
    </w:p>
    <w:p w14:paraId="721DAD38" w14:textId="76E2CAFB" w:rsidR="00074D69" w:rsidRPr="00575D2F" w:rsidRDefault="00074D69">
      <w:pPr>
        <w:spacing w:after="160" w:line="259" w:lineRule="auto"/>
        <w:rPr>
          <w:rFonts w:asciiTheme="majorHAnsi" w:eastAsia="Times New Roman" w:hAnsiTheme="majorHAnsi" w:cstheme="majorHAnsi"/>
          <w:b/>
          <w:bCs/>
          <w:sz w:val="20"/>
          <w:szCs w:val="20"/>
        </w:rPr>
      </w:pPr>
      <w:r w:rsidRPr="00575D2F">
        <w:rPr>
          <w:rFonts w:asciiTheme="majorHAnsi" w:eastAsia="Times New Roman" w:hAnsiTheme="majorHAnsi" w:cstheme="majorHAnsi"/>
          <w:b/>
          <w:bCs/>
          <w:sz w:val="20"/>
          <w:szCs w:val="20"/>
        </w:rPr>
        <w:t>Išvados:</w:t>
      </w:r>
    </w:p>
    <w:p w14:paraId="2444B22F" w14:textId="03EBA858" w:rsidR="00074D69" w:rsidRPr="00575D2F" w:rsidRDefault="00074D69" w:rsidP="005E5DD9">
      <w:pPr>
        <w:pStyle w:val="font-claude-response-body"/>
        <w:numPr>
          <w:ilvl w:val="0"/>
          <w:numId w:val="6"/>
        </w:numPr>
        <w:ind w:left="284" w:hanging="284"/>
        <w:jc w:val="both"/>
        <w:rPr>
          <w:rFonts w:asciiTheme="majorHAnsi" w:hAnsiTheme="majorHAnsi" w:cstheme="majorHAnsi"/>
          <w:sz w:val="20"/>
          <w:szCs w:val="20"/>
        </w:rPr>
      </w:pPr>
      <w:r w:rsidRPr="00575D2F">
        <w:rPr>
          <w:rFonts w:asciiTheme="majorHAnsi" w:hAnsiTheme="majorHAnsi" w:cstheme="majorHAnsi"/>
          <w:sz w:val="20"/>
          <w:szCs w:val="20"/>
        </w:rPr>
        <w:t>Aktyvus gyventojų dalyvavimas ISGP rengime išaugo.  Tai rodo, kad įstaigoje veiksmingai stiprinamas gyventojų įgalinimas ir į asmenį orientuotas planavimas.</w:t>
      </w:r>
    </w:p>
    <w:p w14:paraId="7A74682C" w14:textId="77777777" w:rsidR="00074D69" w:rsidRPr="00575D2F" w:rsidRDefault="00074D69" w:rsidP="005E5DD9">
      <w:pPr>
        <w:pStyle w:val="font-claude-response-body"/>
        <w:numPr>
          <w:ilvl w:val="0"/>
          <w:numId w:val="6"/>
        </w:numPr>
        <w:ind w:left="284" w:hanging="284"/>
        <w:jc w:val="both"/>
        <w:rPr>
          <w:rFonts w:asciiTheme="majorHAnsi" w:hAnsiTheme="majorHAnsi" w:cstheme="majorHAnsi"/>
          <w:sz w:val="20"/>
          <w:szCs w:val="20"/>
        </w:rPr>
      </w:pPr>
      <w:r w:rsidRPr="00575D2F">
        <w:rPr>
          <w:rFonts w:asciiTheme="majorHAnsi" w:hAnsiTheme="majorHAnsi" w:cstheme="majorHAnsi"/>
          <w:sz w:val="20"/>
          <w:szCs w:val="20"/>
        </w:rPr>
        <w:t>Teigiamą pokytį lėmė trys veiksniai: kryptingas darbuotojų darbas su gyventojų įsitraukimu, aktyvesnis artimųjų dalyvavimas ir stiprėjantis bendradarbiavimas tarp gyventojų, artimųjų bei komandos – tai kartu prisidėjo ir prie didesnio gyventojų iniciatyvumo bei atsakomybės jausmo.</w:t>
      </w:r>
    </w:p>
    <w:p w14:paraId="4B536372" w14:textId="0FC92291" w:rsidR="00992883" w:rsidRPr="00074D69" w:rsidRDefault="00992883" w:rsidP="00074D69">
      <w:pPr>
        <w:pStyle w:val="ListParagraph"/>
        <w:numPr>
          <w:ilvl w:val="0"/>
          <w:numId w:val="6"/>
        </w:numPr>
        <w:spacing w:after="160" w:line="259" w:lineRule="auto"/>
        <w:rPr>
          <w:rFonts w:asciiTheme="majorHAnsi" w:eastAsia="Times New Roman" w:hAnsiTheme="majorHAnsi" w:cstheme="majorHAnsi"/>
          <w:b/>
          <w:bCs/>
        </w:rPr>
      </w:pPr>
      <w:r w:rsidRPr="00074D69">
        <w:rPr>
          <w:rFonts w:asciiTheme="majorHAnsi" w:eastAsia="Times New Roman" w:hAnsiTheme="majorHAnsi" w:cstheme="majorHAnsi"/>
          <w:b/>
          <w:bCs/>
        </w:rPr>
        <w:br w:type="page"/>
      </w:r>
    </w:p>
    <w:p w14:paraId="02782946" w14:textId="52A97DFE" w:rsidR="00C0607C" w:rsidRPr="00F248C2" w:rsidRDefault="00C0607C" w:rsidP="00C0607C">
      <w:pPr>
        <w:rPr>
          <w:rFonts w:asciiTheme="majorHAnsi" w:hAnsiTheme="majorHAnsi" w:cstheme="majorHAnsi"/>
          <w:b/>
          <w:bCs/>
          <w:i/>
          <w:iCs/>
          <w:sz w:val="20"/>
          <w:szCs w:val="20"/>
        </w:rPr>
      </w:pPr>
      <w:r w:rsidRPr="00F248C2">
        <w:rPr>
          <w:rFonts w:asciiTheme="majorHAnsi" w:eastAsia="Times New Roman" w:hAnsiTheme="majorHAnsi" w:cstheme="majorHAnsi"/>
          <w:b/>
          <w:bCs/>
        </w:rPr>
        <w:lastRenderedPageBreak/>
        <w:t>PASLAUGŲ GAVĖJŲ GYVENIMO KOKYBĖS GERINIMO REZULTATAI</w:t>
      </w:r>
      <w:r>
        <w:rPr>
          <w:rFonts w:asciiTheme="majorHAnsi" w:eastAsia="Times New Roman" w:hAnsiTheme="majorHAnsi" w:cstheme="majorHAnsi"/>
          <w:b/>
          <w:bCs/>
        </w:rPr>
        <w:t>, 2025 metai</w:t>
      </w:r>
      <w:r w:rsidRPr="00F248C2">
        <w:rPr>
          <w:rFonts w:asciiTheme="majorHAnsi" w:eastAsia="Times New Roman" w:hAnsiTheme="majorHAnsi" w:cstheme="majorHAnsi"/>
          <w:b/>
          <w:bCs/>
        </w:rPr>
        <w:t xml:space="preserve"> </w:t>
      </w:r>
    </w:p>
    <w:p w14:paraId="56D424AA" w14:textId="77777777" w:rsidR="00C0607C" w:rsidRPr="00575D2F" w:rsidRDefault="00C0607C" w:rsidP="00C0607C">
      <w:pPr>
        <w:rPr>
          <w:rFonts w:asciiTheme="majorHAnsi" w:eastAsia="Times New Roman" w:hAnsiTheme="majorHAnsi" w:cstheme="majorHAnsi"/>
          <w:sz w:val="22"/>
          <w:szCs w:val="22"/>
        </w:rPr>
      </w:pPr>
    </w:p>
    <w:p w14:paraId="238F7D7B" w14:textId="77777777" w:rsidR="00C0607C" w:rsidRPr="00575D2F" w:rsidRDefault="00C0607C" w:rsidP="00C0607C">
      <w:pPr>
        <w:rPr>
          <w:rFonts w:asciiTheme="majorHAnsi" w:eastAsia="Times New Roman" w:hAnsiTheme="majorHAnsi" w:cstheme="majorHAnsi"/>
          <w:sz w:val="22"/>
          <w:szCs w:val="22"/>
        </w:rPr>
      </w:pPr>
      <w:r w:rsidRPr="00575D2F">
        <w:rPr>
          <w:rFonts w:asciiTheme="majorHAnsi" w:eastAsia="Times New Roman" w:hAnsiTheme="majorHAnsi" w:cstheme="majorHAnsi"/>
          <w:sz w:val="22"/>
          <w:szCs w:val="22"/>
        </w:rPr>
        <w:t>32 KRITERIJUS: Socialinių paslaugų teikėjas turi aiškią paslaugų gavėjų gyvenimo kokybės koncepciją ir vykdo veiklą, grindžiamą paslaugų gavėjų poreikių vertinimu, siekiant pagerinti jų gyvenimo kokybę.</w:t>
      </w:r>
    </w:p>
    <w:p w14:paraId="52CD9B7E" w14:textId="77777777" w:rsidR="00C0607C" w:rsidRPr="00575D2F" w:rsidRDefault="00C0607C" w:rsidP="00C0607C">
      <w:pPr>
        <w:rPr>
          <w:rFonts w:asciiTheme="majorHAnsi" w:eastAsia="Times New Roman" w:hAnsiTheme="majorHAnsi" w:cstheme="majorHAnsi"/>
          <w:sz w:val="22"/>
          <w:szCs w:val="22"/>
        </w:rPr>
      </w:pPr>
    </w:p>
    <w:p w14:paraId="34D31960" w14:textId="77777777" w:rsidR="00C0607C" w:rsidRPr="00575D2F" w:rsidRDefault="00C0607C" w:rsidP="00C0607C">
      <w:pPr>
        <w:rPr>
          <w:rFonts w:asciiTheme="majorHAnsi" w:eastAsia="Times New Roman" w:hAnsiTheme="majorHAnsi" w:cstheme="majorHAnsi"/>
          <w:sz w:val="20"/>
          <w:szCs w:val="20"/>
        </w:rPr>
      </w:pPr>
      <w:r w:rsidRPr="00575D2F">
        <w:rPr>
          <w:rFonts w:asciiTheme="majorHAnsi" w:eastAsia="Times New Roman" w:hAnsiTheme="majorHAnsi" w:cstheme="majorHAnsi"/>
          <w:sz w:val="20"/>
          <w:szCs w:val="20"/>
        </w:rPr>
        <w:t xml:space="preserve">Rodiklis: </w:t>
      </w:r>
      <w:r w:rsidRPr="00575D2F">
        <w:rPr>
          <w:rFonts w:asciiTheme="majorHAnsi" w:eastAsia="Times New Roman" w:hAnsiTheme="majorHAnsi" w:cstheme="majorHAnsi"/>
          <w:i/>
          <w:iCs/>
          <w:sz w:val="20"/>
          <w:szCs w:val="20"/>
        </w:rPr>
        <w:t>Paslaugų poveikis paslaugų gavėjų gyvenimo kokybės sritims</w:t>
      </w:r>
      <w:r w:rsidRPr="00575D2F">
        <w:rPr>
          <w:rFonts w:asciiTheme="majorHAnsi" w:eastAsia="Times New Roman" w:hAnsiTheme="majorHAnsi" w:cstheme="majorHAnsi"/>
          <w:sz w:val="20"/>
          <w:szCs w:val="20"/>
        </w:rPr>
        <w:t>.</w:t>
      </w:r>
    </w:p>
    <w:p w14:paraId="2181413B" w14:textId="77777777" w:rsidR="00C0607C" w:rsidRPr="00575D2F" w:rsidRDefault="00C0607C" w:rsidP="00C0607C">
      <w:pPr>
        <w:jc w:val="both"/>
        <w:rPr>
          <w:rFonts w:asciiTheme="majorHAnsi" w:hAnsiTheme="majorHAnsi" w:cstheme="majorHAnsi"/>
          <w:sz w:val="20"/>
          <w:szCs w:val="20"/>
        </w:rPr>
      </w:pPr>
    </w:p>
    <w:p w14:paraId="76B0479A" w14:textId="77777777" w:rsidR="00C0607C" w:rsidRPr="00575D2F" w:rsidRDefault="00C0607C" w:rsidP="00C0607C">
      <w:pPr>
        <w:jc w:val="both"/>
        <w:rPr>
          <w:rFonts w:ascii="Calibri Light" w:eastAsia="Times New Roman" w:hAnsi="Calibri Light" w:cs="Calibri Light"/>
          <w:iCs/>
          <w:sz w:val="20"/>
          <w:szCs w:val="20"/>
        </w:rPr>
      </w:pPr>
      <w:r w:rsidRPr="00575D2F">
        <w:rPr>
          <w:rFonts w:ascii="Calibri Light" w:hAnsi="Calibri Light" w:cs="Calibri Light"/>
          <w:sz w:val="20"/>
          <w:szCs w:val="20"/>
        </w:rPr>
        <w:t xml:space="preserve">Rodiklio apskaičiavimo formulė: </w:t>
      </w:r>
      <w:r w:rsidRPr="00575D2F">
        <w:rPr>
          <w:rFonts w:ascii="Calibri Light" w:eastAsia="Times New Roman" w:hAnsi="Calibri Light" w:cs="Calibri Light"/>
          <w:sz w:val="20"/>
          <w:szCs w:val="20"/>
        </w:rPr>
        <w:t xml:space="preserve">gyventojų gyvenimo kokybės pokyčio vertinimas atskirose srityse gaunant ilgalaikės globos paslaugas paslaugų gavėjų požiūriu 2024 - 2025 metais. </w:t>
      </w:r>
      <w:r w:rsidRPr="00575D2F">
        <w:rPr>
          <w:rFonts w:ascii="Calibri Light" w:eastAsia="Times New Roman" w:hAnsi="Calibri Light" w:cs="Calibri Light"/>
          <w:iCs/>
          <w:sz w:val="20"/>
          <w:szCs w:val="20"/>
        </w:rPr>
        <w:t xml:space="preserve">Rezultatai vertinami kartą metuose, pokytis matuojamas kolektyviniu lygmeniu. </w:t>
      </w:r>
    </w:p>
    <w:p w14:paraId="63B7D09C" w14:textId="77777777" w:rsidR="00C0607C" w:rsidRPr="00575D2F" w:rsidRDefault="00C0607C" w:rsidP="00C0607C">
      <w:pPr>
        <w:jc w:val="both"/>
        <w:rPr>
          <w:rFonts w:asciiTheme="majorHAnsi" w:eastAsia="Times New Roman" w:hAnsiTheme="majorHAnsi" w:cstheme="majorHAnsi"/>
          <w:sz w:val="20"/>
          <w:szCs w:val="20"/>
        </w:rPr>
      </w:pPr>
    </w:p>
    <w:p w14:paraId="1DCADFA5" w14:textId="77777777" w:rsidR="00C0607C" w:rsidRPr="00575D2F" w:rsidRDefault="00C0607C" w:rsidP="00C0607C">
      <w:pPr>
        <w:jc w:val="both"/>
        <w:rPr>
          <w:rFonts w:asciiTheme="majorHAnsi" w:eastAsia="Times New Roman" w:hAnsiTheme="majorHAnsi" w:cstheme="majorHAnsi"/>
          <w:sz w:val="20"/>
          <w:szCs w:val="20"/>
        </w:rPr>
      </w:pPr>
      <w:r w:rsidRPr="00575D2F">
        <w:rPr>
          <w:rFonts w:asciiTheme="majorHAnsi" w:eastAsia="Times New Roman" w:hAnsiTheme="majorHAnsi" w:cstheme="majorHAnsi"/>
          <w:sz w:val="20"/>
          <w:szCs w:val="20"/>
        </w:rPr>
        <w:t>Kauno kartų namų Senelių globos padalinio gyventojų pasitenkinimas gyvenimo kokybe vertinamas „Pasitenkinimo gyvenimo kokybe klausimynu“ Klausimynų gyventojams pagalba siekiama išsiaiškinti jų nuomonę apie pasitenkinimą gyvenimo kokybe penkiose pagrindinėse gyvenimo srityse (savirealizacija, socialiniai ryšiai, saugumas, gerbūvis, sveikata). Instrumentas sudarytas iš 24 teiginių į kuriuos gyventojai pasirenka vieną atsakymą iš trijų galimų: “nesutinku”, “nei sutinku nei nesutinku”, “sutinku”. Atlikus gautų atsakymų analizę ir įvertinus atsakymus „ sutinku“ ieškoma būdų, kaip pagerinti gyventojų pasitenkinimą gyvenimo kokybe tose srityse, kurios bus vertinamos kaip mažiau kokybiškos. Pirmiausiai siekiame išsikelti bei pasiekti asmeninius gyvenimo kokybės gerinimo tikslus ir tai yra fiksuojama gyventojo ISGP. Šiuos tikslus peržiūrime ir vertiname kartą metuose. Kauno kartų namų personalas bei gyventojai supažindinti ir su apibendrintais gyvenimo kokybės vertinimo rezultatais. </w:t>
      </w:r>
    </w:p>
    <w:p w14:paraId="6756F7B7" w14:textId="77777777" w:rsidR="001B3C5A" w:rsidRDefault="001B3C5A" w:rsidP="00C0607C">
      <w:pPr>
        <w:rPr>
          <w:rFonts w:ascii="Calibri Light" w:hAnsi="Calibri Light" w:cs="Calibri Light"/>
          <w:i/>
          <w:iCs/>
          <w:sz w:val="20"/>
          <w:szCs w:val="20"/>
        </w:rPr>
      </w:pPr>
    </w:p>
    <w:p w14:paraId="0AF270CC" w14:textId="090030A6" w:rsidR="00C0607C" w:rsidRPr="00575D2F" w:rsidRDefault="00575D2F" w:rsidP="00C0607C">
      <w:pPr>
        <w:rPr>
          <w:rFonts w:ascii="Calibri Light" w:hAnsi="Calibri Light" w:cs="Calibri Light"/>
          <w:i/>
          <w:iCs/>
          <w:sz w:val="20"/>
          <w:szCs w:val="20"/>
        </w:rPr>
      </w:pPr>
      <w:r w:rsidRPr="00575D2F">
        <w:rPr>
          <w:rFonts w:ascii="Calibri Light" w:hAnsi="Calibri Light" w:cs="Calibri Light"/>
          <w:i/>
          <w:iCs/>
          <w:sz w:val="20"/>
          <w:szCs w:val="20"/>
        </w:rPr>
        <w:t xml:space="preserve">7 pav. </w:t>
      </w:r>
    </w:p>
    <w:p w14:paraId="11DDE9E6" w14:textId="77777777" w:rsidR="00C0607C" w:rsidRDefault="00C0607C" w:rsidP="00C0607C">
      <w:pPr>
        <w:jc w:val="both"/>
        <w:rPr>
          <w:rFonts w:ascii="Calibri Light" w:hAnsi="Calibri Light" w:cs="Calibri Light"/>
          <w:sz w:val="20"/>
          <w:szCs w:val="20"/>
        </w:rPr>
      </w:pPr>
      <w:r>
        <w:rPr>
          <w:noProof/>
        </w:rPr>
        <w:drawing>
          <wp:inline distT="0" distB="0" distL="0" distR="0" wp14:anchorId="6052CBCC" wp14:editId="71940CBC">
            <wp:extent cx="6029325" cy="2524125"/>
            <wp:effectExtent l="0" t="0" r="9525" b="9525"/>
            <wp:docPr id="2008397543" name="Diagrama 1">
              <a:extLst xmlns:a="http://schemas.openxmlformats.org/drawingml/2006/main">
                <a:ext uri="{FF2B5EF4-FFF2-40B4-BE49-F238E27FC236}">
                  <a16:creationId xmlns:a16="http://schemas.microsoft.com/office/drawing/2014/main" id="{F15833E6-BAA6-32B9-2C8B-E7E7887A9F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16B96B4" w14:textId="77777777" w:rsidR="00C0607C" w:rsidRDefault="00C0607C" w:rsidP="00C0607C">
      <w:pPr>
        <w:jc w:val="both"/>
        <w:rPr>
          <w:rFonts w:ascii="Calibri Light" w:hAnsi="Calibri Light" w:cs="Calibri Light"/>
          <w:sz w:val="20"/>
          <w:szCs w:val="20"/>
        </w:rPr>
      </w:pPr>
    </w:p>
    <w:p w14:paraId="078157E7" w14:textId="77777777" w:rsidR="00C0607C" w:rsidRPr="00575D2F" w:rsidRDefault="00C0607C" w:rsidP="00C0607C">
      <w:pPr>
        <w:spacing w:after="160" w:line="259" w:lineRule="auto"/>
        <w:jc w:val="both"/>
        <w:rPr>
          <w:rFonts w:ascii="Calibri Light" w:eastAsia="Times New Roman" w:hAnsi="Calibri Light" w:cs="Calibri Light"/>
          <w:sz w:val="20"/>
          <w:szCs w:val="20"/>
        </w:rPr>
      </w:pPr>
      <w:r w:rsidRPr="00575D2F">
        <w:rPr>
          <w:rFonts w:ascii="Calibri Light" w:eastAsia="Times New Roman" w:hAnsi="Calibri Light" w:cs="Calibri Light"/>
          <w:sz w:val="20"/>
          <w:szCs w:val="20"/>
        </w:rPr>
        <w:t xml:space="preserve">Visose vertinamose srityse 2025 m. rodikliai yra mažesni nei 2024 m., todėl galima teigti, kad gyvenimo kokybės vertinimas per metus suprastėjo. Savirealizacija išlieka geriausiai vertinama sritis – 2025 m. jai pritarė 89,7 % gyventojų nors rodiklis sumažėjo 2,3 procentinio punkto. Socialinių ryšių vertinimas sumažėjo nuo 92,0 % iki 81,5 %, t. y. 10,5 procentinio punkto. Didžiausias neigiamas pokytis užfiksuotas saugumo srityje – rodiklis sumažėjo nuo 93,0 % iki 80,8 % (12,2 procentinio punkto). Gerbūvio vertinimas sumažėjo nuo 93,0 % iki 86,2 %, tačiau išliko vienas aukščiausių tarp visų sričių. Sveikatos srities vertinimas sumažėjo nuo 88,0 % iki 80,0 %, t. y. 8 procentiniais punktais. </w:t>
      </w:r>
    </w:p>
    <w:p w14:paraId="0815EA99" w14:textId="2DF808BE" w:rsidR="00C0607C" w:rsidRPr="00575D2F" w:rsidRDefault="00C0607C" w:rsidP="00C0607C">
      <w:pPr>
        <w:spacing w:after="160" w:line="259" w:lineRule="auto"/>
        <w:jc w:val="both"/>
        <w:rPr>
          <w:rFonts w:ascii="Calibri Light" w:eastAsia="Times New Roman" w:hAnsi="Calibri Light" w:cs="Calibri Light"/>
          <w:sz w:val="20"/>
          <w:szCs w:val="20"/>
        </w:rPr>
      </w:pPr>
      <w:r w:rsidRPr="00575D2F">
        <w:rPr>
          <w:rFonts w:ascii="Calibri Light" w:eastAsia="Times New Roman" w:hAnsi="Calibri Light" w:cs="Calibri Light"/>
          <w:sz w:val="20"/>
          <w:szCs w:val="20"/>
        </w:rPr>
        <w:t xml:space="preserve">2024 m. visų gyvenimo kokybės sričių vertinimai buvo labai aukšti (88–93 %), tačiau 2025 m. stebimas bendras rodiklių mažėjimas. </w:t>
      </w:r>
      <w:r w:rsidR="00224549">
        <w:rPr>
          <w:rFonts w:ascii="Calibri Light" w:eastAsia="Times New Roman" w:hAnsi="Calibri Light" w:cs="Calibri Light"/>
          <w:sz w:val="20"/>
          <w:szCs w:val="20"/>
        </w:rPr>
        <w:t>Didžiausias</w:t>
      </w:r>
      <w:r w:rsidRPr="00575D2F">
        <w:rPr>
          <w:rFonts w:ascii="Calibri Light" w:eastAsia="Times New Roman" w:hAnsi="Calibri Light" w:cs="Calibri Light"/>
          <w:sz w:val="20"/>
          <w:szCs w:val="20"/>
        </w:rPr>
        <w:t xml:space="preserve"> nuosmukis pastebimas saugumo ir socialinių ryšių srityse, o mažiausias – savirealizacijos srityje. Nepaisant sumažėjimo, visos sritys 2025 m. vis dar vertinamos gana palankiai – jų rodikliai išlieka ne mažesni kaip 80 %.</w:t>
      </w:r>
    </w:p>
    <w:p w14:paraId="136C6227" w14:textId="3636748F" w:rsidR="00813B63" w:rsidRPr="00F248C2" w:rsidRDefault="00575D2F" w:rsidP="00E0705D">
      <w:pPr>
        <w:spacing w:after="160" w:line="259" w:lineRule="auto"/>
        <w:rPr>
          <w:rFonts w:asciiTheme="majorHAnsi" w:eastAsia="Times New Roman" w:hAnsiTheme="majorHAnsi" w:cstheme="majorHAnsi"/>
          <w:i/>
          <w:sz w:val="20"/>
          <w:szCs w:val="20"/>
        </w:rPr>
      </w:pPr>
      <w:r w:rsidRPr="00575D2F">
        <w:rPr>
          <w:rFonts w:asciiTheme="majorHAnsi" w:eastAsia="Times New Roman" w:hAnsiTheme="majorHAnsi" w:cstheme="majorHAnsi"/>
          <w:i/>
          <w:sz w:val="20"/>
          <w:szCs w:val="20"/>
        </w:rPr>
        <w:lastRenderedPageBreak/>
        <w:t>8</w:t>
      </w:r>
      <w:r w:rsidR="00E0705D" w:rsidRPr="00575D2F">
        <w:rPr>
          <w:rFonts w:asciiTheme="majorHAnsi" w:eastAsia="Times New Roman" w:hAnsiTheme="majorHAnsi" w:cstheme="majorHAnsi"/>
          <w:i/>
          <w:sz w:val="20"/>
          <w:szCs w:val="20"/>
        </w:rPr>
        <w:t xml:space="preserve"> </w:t>
      </w:r>
      <w:r w:rsidR="00813B63" w:rsidRPr="00575D2F">
        <w:rPr>
          <w:rFonts w:asciiTheme="majorHAnsi" w:eastAsia="Times New Roman" w:hAnsiTheme="majorHAnsi" w:cstheme="majorHAnsi"/>
          <w:i/>
          <w:sz w:val="20"/>
          <w:szCs w:val="20"/>
        </w:rPr>
        <w:t xml:space="preserve"> pav</w:t>
      </w:r>
      <w:r w:rsidR="00813B63" w:rsidRPr="00F248C2">
        <w:rPr>
          <w:rFonts w:asciiTheme="majorHAnsi" w:eastAsia="Times New Roman" w:hAnsiTheme="majorHAnsi" w:cstheme="majorHAnsi"/>
          <w:i/>
          <w:sz w:val="20"/>
          <w:szCs w:val="20"/>
        </w:rPr>
        <w:t>.</w:t>
      </w:r>
      <w:r w:rsidR="00813B63" w:rsidRPr="00F248C2">
        <w:rPr>
          <w:noProof/>
        </w:rPr>
        <w:drawing>
          <wp:inline distT="0" distB="0" distL="0" distR="0" wp14:anchorId="14924C43" wp14:editId="57B98953">
            <wp:extent cx="6059170" cy="2952750"/>
            <wp:effectExtent l="0" t="0" r="17780" b="0"/>
            <wp:docPr id="14" name="Diagrama 14">
              <a:extLst xmlns:a="http://schemas.openxmlformats.org/drawingml/2006/main">
                <a:ext uri="{FF2B5EF4-FFF2-40B4-BE49-F238E27FC236}">
                  <a16:creationId xmlns:a16="http://schemas.microsoft.com/office/drawing/2014/main" id="{1B0F2838-C098-4386-AEBA-8976247341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FFE238C" w14:textId="77777777" w:rsidR="00813B63" w:rsidRDefault="00813B63" w:rsidP="00813B63">
      <w:pPr>
        <w:jc w:val="both"/>
        <w:rPr>
          <w:rFonts w:asciiTheme="majorHAnsi" w:eastAsia="Times New Roman" w:hAnsiTheme="majorHAnsi" w:cstheme="majorHAnsi"/>
          <w:sz w:val="20"/>
          <w:szCs w:val="20"/>
        </w:rPr>
      </w:pPr>
    </w:p>
    <w:p w14:paraId="13A6803D" w14:textId="77777777" w:rsidR="00813B63" w:rsidRPr="00575D2F" w:rsidRDefault="00813B63" w:rsidP="00533C91">
      <w:pPr>
        <w:jc w:val="both"/>
        <w:rPr>
          <w:rFonts w:asciiTheme="majorHAnsi" w:eastAsia="Times New Roman" w:hAnsiTheme="majorHAnsi" w:cstheme="majorHAnsi"/>
          <w:sz w:val="20"/>
          <w:szCs w:val="20"/>
        </w:rPr>
      </w:pPr>
      <w:r w:rsidRPr="00575D2F">
        <w:rPr>
          <w:rFonts w:asciiTheme="majorHAnsi" w:eastAsia="Times New Roman" w:hAnsiTheme="majorHAnsi" w:cstheme="majorHAnsi"/>
          <w:sz w:val="20"/>
          <w:szCs w:val="20"/>
        </w:rPr>
        <w:t xml:space="preserve">Rezultatuose stebima, kad paslaugų gavėjai su teiginiais apie atitinkamas gyvenimo sritis sutinka: 86,5 proc. – savirealizacijos sritis, 83 proc. – socialiniai ryčiai, 89 proc. - saugumas, 83,2 proc. – gerbūvis ir sveikata – 84 proc. Teiginiai su kuriais paslaugų gavėjai nei sutinka nei nesutinka: 14 proc. – sveikata, 11 proc. – saugumas, 16,8 proc. – gerbūvis, 13,5 proc. – savirealizacija, 13 proc.  – socialiniai ryšiai. Nesutinka, vieną ar kitą gyvenimo sritį vertina kaip ne kokybišką labai mažas procentas paslaugų  gavėjų, kurių ISGP pagal galimybes numatomos priemonės gyvenimo kokybei pagerinti. </w:t>
      </w:r>
    </w:p>
    <w:p w14:paraId="7592577C" w14:textId="77777777" w:rsidR="00813B63" w:rsidRPr="00575D2F" w:rsidRDefault="00813B63" w:rsidP="00533C91">
      <w:pPr>
        <w:spacing w:after="160" w:line="259" w:lineRule="auto"/>
        <w:jc w:val="both"/>
        <w:rPr>
          <w:rFonts w:asciiTheme="majorHAnsi" w:eastAsia="Times New Roman" w:hAnsiTheme="majorHAnsi" w:cstheme="majorHAnsi"/>
          <w:sz w:val="20"/>
          <w:szCs w:val="20"/>
        </w:rPr>
      </w:pPr>
      <w:r w:rsidRPr="00575D2F">
        <w:rPr>
          <w:rFonts w:asciiTheme="majorHAnsi" w:eastAsia="Times New Roman" w:hAnsiTheme="majorHAnsi" w:cstheme="majorHAnsi"/>
          <w:sz w:val="20"/>
          <w:szCs w:val="20"/>
        </w:rPr>
        <w:t xml:space="preserve">Svarbu paminėti, kad nuo 2024 m. paslaugų gavėjų gyvenimo kokybės rezultatai lyginami ir individualiu lygmeniu. </w:t>
      </w:r>
    </w:p>
    <w:p w14:paraId="33C0752D" w14:textId="77777777" w:rsidR="00B75A46" w:rsidRPr="00575D2F" w:rsidRDefault="00B75A46" w:rsidP="00B75A46">
      <w:pPr>
        <w:spacing w:after="160" w:line="259" w:lineRule="auto"/>
        <w:jc w:val="both"/>
        <w:rPr>
          <w:rFonts w:ascii="Calibri Light" w:eastAsia="Times New Roman" w:hAnsi="Calibri Light" w:cs="Calibri Light"/>
          <w:sz w:val="20"/>
          <w:szCs w:val="20"/>
        </w:rPr>
      </w:pPr>
      <w:r w:rsidRPr="00575D2F">
        <w:rPr>
          <w:rFonts w:ascii="Calibri Light" w:eastAsia="Times New Roman" w:hAnsi="Calibri Light" w:cs="Calibri Light"/>
          <w:b/>
          <w:bCs/>
          <w:sz w:val="20"/>
          <w:szCs w:val="20"/>
        </w:rPr>
        <w:t>Išvados:</w:t>
      </w:r>
      <w:r w:rsidRPr="00575D2F">
        <w:rPr>
          <w:rFonts w:ascii="Calibri Light" w:eastAsia="Times New Roman" w:hAnsi="Calibri Light" w:cs="Calibri Light"/>
          <w:sz w:val="20"/>
          <w:szCs w:val="20"/>
        </w:rPr>
        <w:t xml:space="preserve"> </w:t>
      </w:r>
    </w:p>
    <w:p w14:paraId="371861FA" w14:textId="59E64698" w:rsidR="00B75A46" w:rsidRPr="00575D2F" w:rsidRDefault="00224549" w:rsidP="00E0705D">
      <w:pPr>
        <w:pStyle w:val="ListParagraph"/>
        <w:numPr>
          <w:ilvl w:val="0"/>
          <w:numId w:val="4"/>
        </w:numPr>
        <w:spacing w:after="160" w:line="259" w:lineRule="auto"/>
        <w:ind w:left="284" w:hanging="284"/>
        <w:jc w:val="both"/>
        <w:rPr>
          <w:rFonts w:ascii="Calibri Light" w:eastAsia="Times New Roman" w:hAnsi="Calibri Light" w:cs="Calibri Light"/>
          <w:sz w:val="20"/>
          <w:szCs w:val="20"/>
        </w:rPr>
      </w:pPr>
      <w:r>
        <w:rPr>
          <w:rFonts w:ascii="Calibri Light" w:eastAsia="Times New Roman" w:hAnsi="Calibri Light" w:cs="Calibri Light"/>
          <w:sz w:val="20"/>
          <w:szCs w:val="20"/>
        </w:rPr>
        <w:t>Lyginant 2024-</w:t>
      </w:r>
      <w:r w:rsidR="00B75A46" w:rsidRPr="00575D2F">
        <w:rPr>
          <w:rFonts w:ascii="Calibri Light" w:eastAsia="Times New Roman" w:hAnsi="Calibri Light" w:cs="Calibri Light"/>
          <w:sz w:val="20"/>
          <w:szCs w:val="20"/>
        </w:rPr>
        <w:t>2025 m.</w:t>
      </w:r>
      <w:r>
        <w:rPr>
          <w:rFonts w:ascii="Calibri Light" w:eastAsia="Times New Roman" w:hAnsi="Calibri Light" w:cs="Calibri Light"/>
          <w:sz w:val="20"/>
          <w:szCs w:val="20"/>
        </w:rPr>
        <w:t xml:space="preserve"> duomenis, </w:t>
      </w:r>
      <w:r w:rsidR="001B3C5A">
        <w:rPr>
          <w:rFonts w:ascii="Calibri Light" w:eastAsia="Times New Roman" w:hAnsi="Calibri Light" w:cs="Calibri Light"/>
          <w:sz w:val="20"/>
          <w:szCs w:val="20"/>
        </w:rPr>
        <w:t>mažėjimas</w:t>
      </w:r>
      <w:r w:rsidR="00B75A46" w:rsidRPr="00575D2F">
        <w:rPr>
          <w:rFonts w:ascii="Calibri Light" w:eastAsia="Times New Roman" w:hAnsi="Calibri Light" w:cs="Calibri Light"/>
          <w:sz w:val="20"/>
          <w:szCs w:val="20"/>
        </w:rPr>
        <w:t xml:space="preserve"> fiksuojamas saugumo ir socialinių ryšių srityje, o tai išsiskiria iš bendro, palyginti tolygaus, visų sričių mažėjimo tendencijos. Kadangi šios dvi sritys krenta gerokai daugiau nei kitos (savirealizacija, gerbūvis, sveikata), verta jas nagrinėti atskirai, o ne tik konstatuoti bendrą mažėjimą – galimai jas paveikė tas pats arba susiję veiksniai (pvz., personalo, gyventojų kaita, pasikeitusi sveikata, saugumo suvokimo pokytis). Rekomenduotina šias dvi sritis įtraukti į artimiausią paslaugų kokybės aptarimą, susirinkimo dienotvarkę kaip prioritetines, kartu patikrinant, ar rodiklių mažėjimas nesutampa su metodikos ar apklausos imties pokyčiais (pvz., mažesniu respondentų skaičiumi, kitokiu klausimo žodiniu formulavimu pildant klausimyną), nes tai galėtų iš dalies paaiškinti vertinimo kritimą.</w:t>
      </w:r>
    </w:p>
    <w:p w14:paraId="4480749C" w14:textId="03D122AC" w:rsidR="00B75A46" w:rsidRPr="00575D2F" w:rsidRDefault="00E0705D" w:rsidP="00E0705D">
      <w:pPr>
        <w:pStyle w:val="ListParagraph"/>
        <w:spacing w:after="160" w:line="259" w:lineRule="auto"/>
        <w:ind w:left="284" w:hanging="284"/>
        <w:jc w:val="both"/>
        <w:rPr>
          <w:rFonts w:ascii="Calibri Light" w:eastAsia="Times New Roman" w:hAnsi="Calibri Light" w:cs="Calibri Light"/>
          <w:sz w:val="20"/>
          <w:szCs w:val="20"/>
        </w:rPr>
      </w:pPr>
      <w:r w:rsidRPr="00575D2F">
        <w:rPr>
          <w:rFonts w:ascii="Calibri Light" w:eastAsia="Times New Roman" w:hAnsi="Calibri Light" w:cs="Calibri Light"/>
          <w:sz w:val="20"/>
          <w:szCs w:val="20"/>
        </w:rPr>
        <w:t xml:space="preserve">2. </w:t>
      </w:r>
      <w:r w:rsidR="00B75A46" w:rsidRPr="00575D2F">
        <w:rPr>
          <w:rFonts w:ascii="Calibri Light" w:eastAsia="Times New Roman" w:hAnsi="Calibri Light" w:cs="Calibri Light"/>
          <w:sz w:val="20"/>
          <w:szCs w:val="20"/>
        </w:rPr>
        <w:t>Visose penkiose srityse dominuoja teigiamas vertinimas, o nesutinkančiųjų dalis yra minimali – tai rodo bendrai aukštą paslaugų kokybę, tačiau saugumo sritis (89 proc. sutinka, tik 11 proc. neapsisprendę) išsiskiria kaip stipriausiai vertinama, o gerbūvis  – kaip santykinai silpniausia. Vertėtų atkreipti dėmesį, kad ši individualizuota, nuo 2024 m. taikoma vertinimo forma (per ISGP) leidžia ne tik stebėti bendrą tendenciją, bet ir tikslingai reaguoti į konkrečius atvejus, kai paslaugų gavėjas sritį vertina neigiamai.</w:t>
      </w:r>
    </w:p>
    <w:p w14:paraId="4B52807F" w14:textId="77777777" w:rsidR="00B75A46" w:rsidRPr="00221F12" w:rsidRDefault="00B75A46" w:rsidP="00813B63">
      <w:pPr>
        <w:spacing w:after="160" w:line="259" w:lineRule="auto"/>
        <w:jc w:val="both"/>
        <w:rPr>
          <w:rFonts w:ascii="Calibri Light" w:hAnsi="Calibri Light" w:cs="Calibri Light"/>
          <w:sz w:val="20"/>
          <w:szCs w:val="20"/>
        </w:rPr>
      </w:pPr>
    </w:p>
    <w:p w14:paraId="0A331A26" w14:textId="77777777" w:rsidR="00813B63" w:rsidRPr="00221F12" w:rsidRDefault="00813B63" w:rsidP="00813B63">
      <w:pPr>
        <w:spacing w:after="160" w:line="259" w:lineRule="auto"/>
        <w:rPr>
          <w:rFonts w:ascii="Calibri Light" w:eastAsia="Times New Roman" w:hAnsi="Calibri Light" w:cs="Calibri Light"/>
          <w:sz w:val="20"/>
          <w:szCs w:val="20"/>
        </w:rPr>
      </w:pPr>
    </w:p>
    <w:p w14:paraId="657EDF12" w14:textId="77777777" w:rsidR="00813B63" w:rsidRPr="00F248C2" w:rsidRDefault="00813B63" w:rsidP="00813B63">
      <w:pPr>
        <w:spacing w:after="160" w:line="259" w:lineRule="auto"/>
        <w:rPr>
          <w:rFonts w:asciiTheme="majorHAnsi" w:eastAsia="Times New Roman" w:hAnsiTheme="majorHAnsi" w:cstheme="majorHAnsi"/>
          <w:sz w:val="20"/>
          <w:szCs w:val="20"/>
        </w:rPr>
      </w:pPr>
      <w:r w:rsidRPr="00F248C2">
        <w:rPr>
          <w:rFonts w:asciiTheme="majorHAnsi" w:eastAsia="Times New Roman" w:hAnsiTheme="majorHAnsi" w:cstheme="majorHAnsi"/>
          <w:sz w:val="20"/>
          <w:szCs w:val="20"/>
        </w:rPr>
        <w:br w:type="page"/>
      </w:r>
    </w:p>
    <w:p w14:paraId="3D07F2EF" w14:textId="74EE543B" w:rsidR="00F541CB" w:rsidRDefault="00F541CB" w:rsidP="00F541CB">
      <w:pPr>
        <w:rPr>
          <w:rFonts w:ascii="Calibri Light" w:eastAsia="Times New Roman" w:hAnsi="Calibri Light" w:cs="Calibri Light"/>
          <w:b/>
          <w:bCs/>
        </w:rPr>
      </w:pPr>
      <w:r w:rsidRPr="009A2901">
        <w:rPr>
          <w:rFonts w:ascii="Calibri Light" w:eastAsia="Times New Roman" w:hAnsi="Calibri Light" w:cs="Calibri Light"/>
          <w:b/>
          <w:bCs/>
        </w:rPr>
        <w:lastRenderedPageBreak/>
        <w:t>PASLAUGŲ GAVĖJŲ ĮTRAUKIMO Į INDIVIDUALIŲ PLANŲ RENGIMĄ REZULTATAI, 2025 metai</w:t>
      </w:r>
    </w:p>
    <w:p w14:paraId="74FF8CA5" w14:textId="77777777" w:rsidR="00F541CB" w:rsidRDefault="00F541CB" w:rsidP="00F541CB">
      <w:pPr>
        <w:rPr>
          <w:rFonts w:ascii="Calibri Light" w:eastAsia="Times New Roman" w:hAnsi="Calibri Light" w:cs="Calibri Light"/>
          <w:sz w:val="20"/>
          <w:szCs w:val="20"/>
        </w:rPr>
      </w:pPr>
    </w:p>
    <w:p w14:paraId="0AC37D45" w14:textId="77777777" w:rsidR="00F541CB" w:rsidRDefault="00F541CB" w:rsidP="00F541CB">
      <w:pPr>
        <w:jc w:val="both"/>
        <w:rPr>
          <w:rFonts w:ascii="Calibri Light" w:eastAsia="Times New Roman" w:hAnsi="Calibri Light" w:cs="Calibri Light"/>
          <w:sz w:val="22"/>
          <w:szCs w:val="22"/>
        </w:rPr>
      </w:pPr>
      <w:r>
        <w:rPr>
          <w:rFonts w:ascii="Calibri Light" w:eastAsia="Times New Roman" w:hAnsi="Calibri Light" w:cs="Calibri Light"/>
          <w:sz w:val="22"/>
          <w:szCs w:val="22"/>
        </w:rPr>
        <w:t>35 KRITERIJUS: Socialinių paslaugų teikėjas įtraukia paslaugų gavėjus į Individualaus plano rengimą ir priežiūrą, kad užtikrintų paslaugų gavėjo asmeninį indėlį į jo/jos individualų planą</w:t>
      </w:r>
    </w:p>
    <w:p w14:paraId="08A98621" w14:textId="77777777" w:rsidR="00F541CB" w:rsidRDefault="00F541CB" w:rsidP="00F541CB">
      <w:pPr>
        <w:pStyle w:val="NormalWeb"/>
        <w:spacing w:before="0" w:beforeAutospacing="0" w:after="0" w:afterAutospacing="0"/>
        <w:jc w:val="both"/>
        <w:rPr>
          <w:rFonts w:ascii="Calibri Light" w:hAnsi="Calibri Light" w:cs="Calibri Light"/>
          <w:sz w:val="20"/>
          <w:szCs w:val="20"/>
        </w:rPr>
      </w:pPr>
    </w:p>
    <w:p w14:paraId="6A8B4D18" w14:textId="77777777" w:rsidR="00F541CB" w:rsidRDefault="00F541CB" w:rsidP="00F541CB">
      <w:pPr>
        <w:pStyle w:val="NormalWeb"/>
        <w:spacing w:before="0" w:beforeAutospacing="0" w:after="0" w:afterAutospacing="0"/>
        <w:jc w:val="both"/>
        <w:rPr>
          <w:rFonts w:ascii="Calibri Light" w:hAnsi="Calibri Light" w:cs="Calibri Light"/>
          <w:i/>
          <w:iCs/>
          <w:sz w:val="20"/>
          <w:szCs w:val="20"/>
        </w:rPr>
      </w:pPr>
      <w:r>
        <w:rPr>
          <w:rFonts w:ascii="Calibri Light" w:hAnsi="Calibri Light" w:cs="Calibri Light"/>
          <w:i/>
          <w:iCs/>
          <w:sz w:val="20"/>
          <w:szCs w:val="20"/>
        </w:rPr>
        <w:t xml:space="preserve">Rodiklis: Paslaugų gavėjų savarankiškai išsikėlusių asmeninius tikslus ISGP skaičius procentine išraiška. </w:t>
      </w:r>
    </w:p>
    <w:p w14:paraId="7D1978E4" w14:textId="77777777" w:rsidR="00F541CB" w:rsidRDefault="00F541CB" w:rsidP="00F541CB">
      <w:pPr>
        <w:pStyle w:val="NormalWeb"/>
        <w:spacing w:before="0" w:beforeAutospacing="0" w:after="0" w:afterAutospacing="0"/>
        <w:jc w:val="both"/>
        <w:rPr>
          <w:rFonts w:ascii="Calibri Light" w:hAnsi="Calibri Light" w:cs="Calibri Light"/>
          <w:sz w:val="20"/>
          <w:szCs w:val="20"/>
        </w:rPr>
      </w:pPr>
    </w:p>
    <w:p w14:paraId="553FC79A" w14:textId="77777777" w:rsidR="00F541CB" w:rsidRDefault="00F541CB" w:rsidP="00F541CB">
      <w:pPr>
        <w:jc w:val="both"/>
        <w:rPr>
          <w:rFonts w:ascii="Calibri Light" w:eastAsia="Times New Roman" w:hAnsi="Calibri Light" w:cs="Calibri Light"/>
          <w:sz w:val="20"/>
          <w:szCs w:val="20"/>
        </w:rPr>
      </w:pPr>
      <w:r>
        <w:rPr>
          <w:rFonts w:ascii="Calibri Light" w:eastAsia="Times New Roman" w:hAnsi="Calibri Light" w:cs="Calibri Light"/>
          <w:sz w:val="20"/>
          <w:szCs w:val="20"/>
        </w:rPr>
        <w:t xml:space="preserve">Rodiklio apskaičiavimo formulė: gyventojų, savarankiškai iškėlusių savo asmeninius tikslus ISGP, skaičiaus santykis su bendru paslaugų gavėjų skaičiumi 2024-2025 m. </w:t>
      </w:r>
      <w:r>
        <w:rPr>
          <w:rFonts w:ascii="Calibri Light" w:eastAsia="Times New Roman" w:hAnsi="Calibri Light" w:cs="Calibri Light"/>
          <w:iCs/>
          <w:sz w:val="20"/>
          <w:szCs w:val="20"/>
        </w:rPr>
        <w:t>Rezultatai vertinami vieną kartą metų pabaigoje.</w:t>
      </w:r>
    </w:p>
    <w:p w14:paraId="0AD933B1" w14:textId="77777777" w:rsidR="00F541CB" w:rsidRDefault="00F541CB" w:rsidP="00F541CB">
      <w:pPr>
        <w:pStyle w:val="NormalWeb"/>
        <w:spacing w:before="0" w:beforeAutospacing="0" w:after="0" w:afterAutospacing="0"/>
        <w:rPr>
          <w:rFonts w:ascii="Calibri Light" w:hAnsi="Calibri Light" w:cs="Calibri Light"/>
          <w:sz w:val="20"/>
          <w:szCs w:val="20"/>
        </w:rPr>
      </w:pPr>
    </w:p>
    <w:p w14:paraId="49A0D17C" w14:textId="16B43255" w:rsidR="00F541CB" w:rsidRDefault="00F541CB" w:rsidP="00F541CB">
      <w:pPr>
        <w:pStyle w:val="western"/>
        <w:spacing w:before="0" w:beforeAutospacing="0" w:line="240" w:lineRule="auto"/>
        <w:jc w:val="both"/>
        <w:rPr>
          <w:rFonts w:ascii="Calibri Light" w:hAnsi="Calibri Light" w:cs="Calibri Light"/>
          <w:color w:val="auto"/>
        </w:rPr>
      </w:pPr>
      <w:r>
        <w:rPr>
          <w:rFonts w:ascii="Calibri Light" w:hAnsi="Calibri Light" w:cs="Calibri Light"/>
          <w:color w:val="auto"/>
          <w:sz w:val="20"/>
          <w:szCs w:val="20"/>
        </w:rPr>
        <w:t>Kauno kartų namai įtraukia gyventojus į Individualaus socialinės globos plano (toliau - ISGP) rengimą ir peržiūrą. Tai laikoma gyventojo asmeniniu indėliu. Jei dėl fizinių ar psichinių sveikatos sutrikimų gyventojas negali išsakyti savo nuomonės sudarant ISGP, jis sudaromas su specialistų</w:t>
      </w:r>
      <w:r w:rsidR="00224549">
        <w:rPr>
          <w:rFonts w:ascii="Calibri Light" w:hAnsi="Calibri Light" w:cs="Calibri Light"/>
          <w:color w:val="auto"/>
          <w:sz w:val="20"/>
          <w:szCs w:val="20"/>
        </w:rPr>
        <w:t>,</w:t>
      </w:r>
      <w:r>
        <w:rPr>
          <w:rFonts w:ascii="Calibri Light" w:hAnsi="Calibri Light" w:cs="Calibri Light"/>
          <w:color w:val="auto"/>
          <w:sz w:val="20"/>
          <w:szCs w:val="20"/>
        </w:rPr>
        <w:t xml:space="preserve"> giminaičių (globėjų) pagalba. Šis planas pildomas ne rečiau, kaip kartą per metus arba pasikeitus gyventojo poreikiams ir/ar kitoms aplinkybėms. Gyventojas išsikelia siektiną tikslą /svajonę ir įrašo (su darbuotojo pagalba tai į ISGP. Gyventojas (esant poreikiui su darbuotoju) metus laiko (iki kito ISGP sudarymo) siekia išsikelto tikslo/svajonės.</w:t>
      </w:r>
    </w:p>
    <w:p w14:paraId="39916720" w14:textId="6DF1B9E4" w:rsidR="00F541CB" w:rsidRPr="00575D2F" w:rsidRDefault="00575D2F" w:rsidP="00F541CB">
      <w:pPr>
        <w:jc w:val="both"/>
        <w:rPr>
          <w:rFonts w:ascii="Calibri Light" w:hAnsi="Calibri Light" w:cs="Calibri Light"/>
          <w:i/>
          <w:iCs/>
          <w:sz w:val="20"/>
          <w:szCs w:val="20"/>
        </w:rPr>
      </w:pPr>
      <w:r w:rsidRPr="00575D2F">
        <w:rPr>
          <w:rFonts w:ascii="Calibri Light" w:hAnsi="Calibri Light" w:cs="Calibri Light"/>
          <w:i/>
          <w:iCs/>
          <w:sz w:val="20"/>
          <w:szCs w:val="20"/>
        </w:rPr>
        <w:t xml:space="preserve">9 pav. </w:t>
      </w:r>
    </w:p>
    <w:p w14:paraId="1A2E11BE" w14:textId="6399EF79" w:rsidR="00F541CB" w:rsidRDefault="00231079" w:rsidP="00F541CB">
      <w:pPr>
        <w:jc w:val="both"/>
        <w:rPr>
          <w:rFonts w:ascii="Calibri Light" w:hAnsi="Calibri Light" w:cs="Calibri Light"/>
          <w:sz w:val="20"/>
          <w:szCs w:val="20"/>
        </w:rPr>
      </w:pPr>
      <w:r>
        <w:rPr>
          <w:noProof/>
          <w14:ligatures w14:val="standardContextual"/>
        </w:rPr>
        <w:drawing>
          <wp:inline distT="0" distB="0" distL="0" distR="0" wp14:anchorId="2384DCF6" wp14:editId="7D701D30">
            <wp:extent cx="6148317" cy="2524125"/>
            <wp:effectExtent l="0" t="0" r="5080" b="9525"/>
            <wp:docPr id="1996721549" name="Diagrama 1">
              <a:extLst xmlns:a="http://schemas.openxmlformats.org/drawingml/2006/main">
                <a:ext uri="{FF2B5EF4-FFF2-40B4-BE49-F238E27FC236}">
                  <a16:creationId xmlns:a16="http://schemas.microsoft.com/office/drawing/2014/main" id="{B1B82301-E35C-31E9-B9AB-9BA60FFF42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46B54B3" w14:textId="77777777" w:rsidR="00F541CB" w:rsidRDefault="00F541CB" w:rsidP="00F541CB">
      <w:pPr>
        <w:jc w:val="both"/>
        <w:rPr>
          <w:rFonts w:ascii="Calibri Light" w:hAnsi="Calibri Light" w:cs="Calibri Light"/>
          <w:sz w:val="20"/>
          <w:szCs w:val="20"/>
        </w:rPr>
      </w:pPr>
    </w:p>
    <w:p w14:paraId="549D5D73" w14:textId="77777777" w:rsidR="00F541CB" w:rsidRDefault="00F541CB" w:rsidP="00F541CB">
      <w:pPr>
        <w:jc w:val="both"/>
        <w:rPr>
          <w:rFonts w:ascii="Calibri Light" w:hAnsi="Calibri Light" w:cs="Calibri Light"/>
          <w:sz w:val="20"/>
          <w:szCs w:val="20"/>
        </w:rPr>
      </w:pPr>
    </w:p>
    <w:p w14:paraId="3416D986" w14:textId="77777777" w:rsidR="00F541CB" w:rsidRPr="00795AFA" w:rsidRDefault="00F541CB" w:rsidP="00F541CB">
      <w:pPr>
        <w:jc w:val="both"/>
        <w:rPr>
          <w:rFonts w:ascii="Calibri Light" w:hAnsi="Calibri Light" w:cs="Calibri Light"/>
          <w:sz w:val="20"/>
          <w:szCs w:val="20"/>
        </w:rPr>
      </w:pPr>
      <w:r w:rsidRPr="00795AFA">
        <w:rPr>
          <w:rFonts w:ascii="Calibri Light" w:hAnsi="Calibri Light" w:cs="Calibri Light"/>
          <w:sz w:val="20"/>
          <w:szCs w:val="20"/>
        </w:rPr>
        <w:t>2024–2025 m. gyventojų, savarankiškai išsikėlusių savo tikslus, dalis reikšmingai padidėjo. Nors bendras gyventojų skaičius sumažėjo nuo 49 iki 47 asmenų (2 asmenimis arba 4,1 %), tikslus išsikėlusių gyventojų skaičius padidėjo nuo 11 iki 22 asmenų, t. y. padvigubėjo.</w:t>
      </w:r>
    </w:p>
    <w:p w14:paraId="0151DC5E" w14:textId="77777777" w:rsidR="00F541CB" w:rsidRPr="00071234" w:rsidRDefault="00F541CB" w:rsidP="00F541CB">
      <w:pPr>
        <w:jc w:val="both"/>
        <w:rPr>
          <w:rFonts w:ascii="Calibri Light" w:hAnsi="Calibri Light" w:cs="Calibri Light"/>
          <w:sz w:val="20"/>
          <w:szCs w:val="20"/>
        </w:rPr>
      </w:pPr>
      <w:r w:rsidRPr="00071234">
        <w:rPr>
          <w:rFonts w:ascii="Calibri Light" w:hAnsi="Calibri Light" w:cs="Calibri Light"/>
          <w:sz w:val="20"/>
          <w:szCs w:val="20"/>
        </w:rPr>
        <w:t>2024 m. savo tikslus buvo išsikėlę 22,45 % visų gyventojų, o 2025 m. – jau 46,81 %. Tai reiškia, kad per metus šis rodiklis padidėjo 24,36 procentinio punkto, arba daugiau nei du kartus.</w:t>
      </w:r>
    </w:p>
    <w:p w14:paraId="3C7FB6F9" w14:textId="77777777" w:rsidR="00F541CB" w:rsidRDefault="00F541CB" w:rsidP="00F541CB">
      <w:pPr>
        <w:jc w:val="both"/>
        <w:rPr>
          <w:rFonts w:ascii="Calibri Light" w:hAnsi="Calibri Light" w:cs="Calibri Light"/>
          <w:sz w:val="20"/>
          <w:szCs w:val="20"/>
        </w:rPr>
      </w:pPr>
      <w:r w:rsidRPr="00795AFA">
        <w:rPr>
          <w:rFonts w:ascii="Calibri Light" w:hAnsi="Calibri Light" w:cs="Calibri Light"/>
          <w:sz w:val="20"/>
          <w:szCs w:val="20"/>
        </w:rPr>
        <w:t>Šie rezultatai rodo teigiamą pokytį – 2025 m. gerokai didesnė gyventojų dalis aktyviai dalyvavo planuojant savo veiklą ir kėlė asmeninius tikslus, kas gali būti siejama su didesniu savarankiškumu, motyvacija ir įsitraukimu į individualų ugdymo ar socialinės pagalbos procesą.</w:t>
      </w:r>
    </w:p>
    <w:p w14:paraId="413B23BD" w14:textId="77777777" w:rsidR="00234A49" w:rsidRDefault="00234A49" w:rsidP="00F541CB">
      <w:pPr>
        <w:jc w:val="both"/>
        <w:rPr>
          <w:rFonts w:ascii="Calibri Light" w:hAnsi="Calibri Light" w:cs="Calibri Light"/>
          <w:b/>
          <w:bCs/>
          <w:sz w:val="20"/>
          <w:szCs w:val="20"/>
        </w:rPr>
      </w:pPr>
    </w:p>
    <w:p w14:paraId="112E88BB" w14:textId="0C33FB44" w:rsidR="00F541CB" w:rsidRPr="00F541CB" w:rsidRDefault="00F541CB" w:rsidP="00F541CB">
      <w:pPr>
        <w:jc w:val="both"/>
        <w:rPr>
          <w:rFonts w:ascii="Calibri Light" w:hAnsi="Calibri Light" w:cs="Calibri Light"/>
          <w:sz w:val="20"/>
          <w:szCs w:val="20"/>
        </w:rPr>
      </w:pPr>
      <w:r w:rsidRPr="00F541CB">
        <w:rPr>
          <w:rFonts w:ascii="Calibri Light" w:hAnsi="Calibri Light" w:cs="Calibri Light"/>
          <w:b/>
          <w:bCs/>
          <w:sz w:val="20"/>
          <w:szCs w:val="20"/>
        </w:rPr>
        <w:t>Išvados:</w:t>
      </w:r>
    </w:p>
    <w:p w14:paraId="41401EDD" w14:textId="2FA478DA" w:rsidR="00F541CB" w:rsidRPr="00F541CB" w:rsidRDefault="00F541CB" w:rsidP="00F541CB">
      <w:pPr>
        <w:numPr>
          <w:ilvl w:val="0"/>
          <w:numId w:val="5"/>
        </w:numPr>
        <w:jc w:val="both"/>
        <w:rPr>
          <w:rFonts w:ascii="Calibri Light" w:hAnsi="Calibri Light" w:cs="Calibri Light"/>
          <w:sz w:val="20"/>
          <w:szCs w:val="20"/>
        </w:rPr>
      </w:pPr>
      <w:r w:rsidRPr="00F541CB">
        <w:rPr>
          <w:rFonts w:ascii="Calibri Light" w:hAnsi="Calibri Light" w:cs="Calibri Light"/>
          <w:sz w:val="20"/>
          <w:szCs w:val="20"/>
        </w:rPr>
        <w:t xml:space="preserve">Tikslus išsikėlusių gyventojų dalies padvigubėjimas esant tik nežymiam bendram gyventojų skaičiaus sumažėjimui rodo, kad pokytis nėra atsitiktinis populiacijos struktūros efektas, </w:t>
      </w:r>
      <w:r>
        <w:rPr>
          <w:rFonts w:ascii="Calibri Light" w:hAnsi="Calibri Light" w:cs="Calibri Light"/>
          <w:sz w:val="20"/>
          <w:szCs w:val="20"/>
        </w:rPr>
        <w:t xml:space="preserve">bet </w:t>
      </w:r>
      <w:r w:rsidRPr="00F541CB">
        <w:rPr>
          <w:rFonts w:ascii="Calibri Light" w:hAnsi="Calibri Light" w:cs="Calibri Light"/>
          <w:sz w:val="20"/>
          <w:szCs w:val="20"/>
        </w:rPr>
        <w:t xml:space="preserve">atspindi realų įgalinimo praktikos (ISGP rengimo, darbuotojų pagalbos gyventojui formuluojant tikslą) pagerėjimą – tai svarus argumentas </w:t>
      </w:r>
      <w:r w:rsidR="00AA3B3C">
        <w:rPr>
          <w:rFonts w:ascii="Calibri Light" w:hAnsi="Calibri Light" w:cs="Calibri Light"/>
          <w:sz w:val="20"/>
          <w:szCs w:val="20"/>
        </w:rPr>
        <w:t>į</w:t>
      </w:r>
      <w:r w:rsidRPr="00F541CB">
        <w:rPr>
          <w:rFonts w:ascii="Calibri Light" w:hAnsi="Calibri Light" w:cs="Calibri Light"/>
          <w:sz w:val="20"/>
          <w:szCs w:val="20"/>
        </w:rPr>
        <w:t xml:space="preserve">galinimo ir </w:t>
      </w:r>
      <w:r w:rsidR="00AA3B3C">
        <w:rPr>
          <w:rFonts w:ascii="Calibri Light" w:hAnsi="Calibri Light" w:cs="Calibri Light"/>
          <w:sz w:val="20"/>
          <w:szCs w:val="20"/>
        </w:rPr>
        <w:t>į</w:t>
      </w:r>
      <w:r w:rsidRPr="00F541CB">
        <w:rPr>
          <w:rFonts w:ascii="Calibri Light" w:hAnsi="Calibri Light" w:cs="Calibri Light"/>
          <w:sz w:val="20"/>
          <w:szCs w:val="20"/>
        </w:rPr>
        <w:t xml:space="preserve"> asmenį orientuoto požiūrio principams pagrįsti.</w:t>
      </w:r>
    </w:p>
    <w:p w14:paraId="514321E4" w14:textId="53BD1F6E" w:rsidR="00F541CB" w:rsidRPr="00F541CB" w:rsidRDefault="00F541CB" w:rsidP="00F541CB">
      <w:pPr>
        <w:numPr>
          <w:ilvl w:val="0"/>
          <w:numId w:val="5"/>
        </w:numPr>
        <w:jc w:val="both"/>
        <w:rPr>
          <w:rFonts w:ascii="Calibri Light" w:hAnsi="Calibri Light" w:cs="Calibri Light"/>
          <w:sz w:val="20"/>
          <w:szCs w:val="20"/>
        </w:rPr>
      </w:pPr>
      <w:r w:rsidRPr="00F541CB">
        <w:rPr>
          <w:rFonts w:ascii="Calibri Light" w:hAnsi="Calibri Light" w:cs="Calibri Light"/>
          <w:sz w:val="20"/>
          <w:szCs w:val="20"/>
        </w:rPr>
        <w:t xml:space="preserve">Kadangi vis dar daugiau nei pusė gyventojų savarankiškai tikslo neišsikėlė, svarbu pažymėti, kad taip yra dėl sveikatos būklės – sunkios negalios (t. y. ISGP sudarytas su specialistų/artimųjų pagalba objektyviai negalint kitaip). </w:t>
      </w:r>
    </w:p>
    <w:p w14:paraId="52B75E92" w14:textId="3B18AF40" w:rsidR="00813B63" w:rsidRPr="00F248C2" w:rsidRDefault="00813B63" w:rsidP="00813B63">
      <w:pPr>
        <w:jc w:val="both"/>
        <w:rPr>
          <w:rFonts w:asciiTheme="majorHAnsi" w:eastAsia="Times New Roman" w:hAnsiTheme="majorHAnsi" w:cstheme="majorHAnsi"/>
          <w:sz w:val="20"/>
          <w:szCs w:val="20"/>
        </w:rPr>
      </w:pPr>
      <w:r w:rsidRPr="00F248C2">
        <w:rPr>
          <w:rFonts w:asciiTheme="majorHAnsi" w:hAnsiTheme="majorHAnsi" w:cstheme="majorHAnsi"/>
          <w:sz w:val="20"/>
          <w:szCs w:val="20"/>
        </w:rPr>
        <w:br w:type="page"/>
      </w:r>
    </w:p>
    <w:p w14:paraId="1A756F50" w14:textId="374C1D4A" w:rsidR="00787868" w:rsidRPr="00674319" w:rsidRDefault="00787868" w:rsidP="00787868">
      <w:pPr>
        <w:rPr>
          <w:rFonts w:asciiTheme="majorHAnsi" w:eastAsia="Times New Roman" w:hAnsiTheme="majorHAnsi" w:cstheme="majorHAnsi"/>
        </w:rPr>
      </w:pPr>
      <w:r w:rsidRPr="00674319">
        <w:rPr>
          <w:rFonts w:asciiTheme="majorHAnsi" w:eastAsia="Times New Roman" w:hAnsiTheme="majorHAnsi" w:cstheme="majorHAnsi"/>
          <w:b/>
          <w:bCs/>
          <w:color w:val="000000"/>
        </w:rPr>
        <w:lastRenderedPageBreak/>
        <w:t>ĮVERTINIMO REZULTATAI: KOKIA APIMTIMI ORGANIZACIJA UŽTIKRINA PASLAUGŲ TEIKIMO TĘSTINUMĄ?</w:t>
      </w:r>
      <w:r>
        <w:rPr>
          <w:rFonts w:asciiTheme="majorHAnsi" w:eastAsia="Times New Roman" w:hAnsiTheme="majorHAnsi" w:cstheme="majorHAnsi"/>
          <w:b/>
          <w:bCs/>
          <w:color w:val="000000"/>
        </w:rPr>
        <w:t>, 2025 metai</w:t>
      </w:r>
    </w:p>
    <w:p w14:paraId="263C04AA" w14:textId="77777777" w:rsidR="00787868" w:rsidRPr="00674319" w:rsidRDefault="00787868" w:rsidP="00787868">
      <w:pPr>
        <w:jc w:val="both"/>
        <w:rPr>
          <w:rFonts w:asciiTheme="majorHAnsi" w:eastAsia="Times New Roman" w:hAnsiTheme="majorHAnsi" w:cstheme="majorHAnsi"/>
          <w:sz w:val="20"/>
          <w:szCs w:val="20"/>
        </w:rPr>
      </w:pPr>
    </w:p>
    <w:p w14:paraId="678BB4DD" w14:textId="77777777" w:rsidR="00787868" w:rsidRPr="00575D2F" w:rsidRDefault="00787868" w:rsidP="00787868">
      <w:pPr>
        <w:jc w:val="both"/>
        <w:rPr>
          <w:rFonts w:asciiTheme="majorHAnsi" w:eastAsia="Times New Roman" w:hAnsiTheme="majorHAnsi" w:cstheme="majorHAnsi"/>
          <w:color w:val="000000"/>
          <w:sz w:val="22"/>
          <w:szCs w:val="22"/>
        </w:rPr>
      </w:pPr>
      <w:r w:rsidRPr="00575D2F">
        <w:rPr>
          <w:rFonts w:asciiTheme="majorHAnsi" w:eastAsia="Times New Roman" w:hAnsiTheme="majorHAnsi" w:cstheme="majorHAnsi"/>
          <w:color w:val="000000"/>
          <w:sz w:val="22"/>
          <w:szCs w:val="22"/>
        </w:rPr>
        <w:t>36 KRITERIJUS: Socialinių paslaugų teikėjas užtikrina, kad paslaugų gavėjui būtų prieinamas paslaugų tęstinumas nuo ankstyvosios intervencijos iki paramos ir palaikymo po paslaugos suteikimo priklausomai nuo bėgant laikui besikeičiančių reikalavimų.</w:t>
      </w:r>
    </w:p>
    <w:p w14:paraId="75A66A95" w14:textId="77777777" w:rsidR="00787868" w:rsidRPr="00674319" w:rsidRDefault="00787868" w:rsidP="00787868">
      <w:pPr>
        <w:jc w:val="both"/>
        <w:rPr>
          <w:rFonts w:asciiTheme="majorHAnsi" w:eastAsia="Times New Roman" w:hAnsiTheme="majorHAnsi" w:cstheme="majorHAnsi"/>
          <w:sz w:val="20"/>
          <w:szCs w:val="20"/>
        </w:rPr>
      </w:pPr>
    </w:p>
    <w:p w14:paraId="0C53D057" w14:textId="407BD01B" w:rsidR="00787868" w:rsidRPr="00674319" w:rsidRDefault="00787868" w:rsidP="00787868">
      <w:pPr>
        <w:jc w:val="both"/>
        <w:rPr>
          <w:rFonts w:asciiTheme="majorHAnsi" w:eastAsia="Times New Roman" w:hAnsiTheme="majorHAnsi" w:cstheme="majorHAnsi"/>
          <w:sz w:val="20"/>
          <w:szCs w:val="20"/>
        </w:rPr>
      </w:pPr>
      <w:r w:rsidRPr="00674319">
        <w:rPr>
          <w:rFonts w:asciiTheme="majorHAnsi" w:eastAsia="Times New Roman" w:hAnsiTheme="majorHAnsi" w:cstheme="majorHAnsi"/>
          <w:color w:val="000000"/>
          <w:sz w:val="20"/>
          <w:szCs w:val="20"/>
        </w:rPr>
        <w:t xml:space="preserve">Rodiklis: </w:t>
      </w:r>
      <w:r w:rsidRPr="00674319">
        <w:rPr>
          <w:rFonts w:asciiTheme="majorHAnsi" w:eastAsia="Times New Roman" w:hAnsiTheme="majorHAnsi" w:cstheme="majorHAnsi"/>
          <w:i/>
          <w:iCs/>
          <w:color w:val="000000"/>
          <w:sz w:val="20"/>
          <w:szCs w:val="20"/>
        </w:rPr>
        <w:t>Gyventoj</w:t>
      </w:r>
      <w:r w:rsidR="00673CE6">
        <w:rPr>
          <w:rFonts w:asciiTheme="majorHAnsi" w:eastAsia="Times New Roman" w:hAnsiTheme="majorHAnsi" w:cstheme="majorHAnsi"/>
          <w:i/>
          <w:iCs/>
          <w:color w:val="000000"/>
          <w:sz w:val="20"/>
          <w:szCs w:val="20"/>
        </w:rPr>
        <w:t>ų, kuriems</w:t>
      </w:r>
      <w:r w:rsidRPr="00674319">
        <w:rPr>
          <w:rFonts w:asciiTheme="majorHAnsi" w:eastAsia="Times New Roman" w:hAnsiTheme="majorHAnsi" w:cstheme="majorHAnsi"/>
          <w:i/>
          <w:iCs/>
          <w:color w:val="000000"/>
          <w:sz w:val="20"/>
          <w:szCs w:val="20"/>
        </w:rPr>
        <w:t xml:space="preserve"> užtikrintos sveikatos priežiūros paslaugos už įstaigos ribų</w:t>
      </w:r>
      <w:r w:rsidR="00673CE6">
        <w:rPr>
          <w:rFonts w:asciiTheme="majorHAnsi" w:eastAsia="Times New Roman" w:hAnsiTheme="majorHAnsi" w:cstheme="majorHAnsi"/>
          <w:i/>
          <w:iCs/>
          <w:color w:val="000000"/>
          <w:sz w:val="20"/>
          <w:szCs w:val="20"/>
        </w:rPr>
        <w:t>, skaičiaus procentinė išraiška.</w:t>
      </w:r>
    </w:p>
    <w:p w14:paraId="066C56FA" w14:textId="77777777" w:rsidR="00787868" w:rsidRDefault="00787868" w:rsidP="00787868">
      <w:pPr>
        <w:jc w:val="both"/>
        <w:rPr>
          <w:rFonts w:asciiTheme="majorHAnsi" w:eastAsia="Times New Roman" w:hAnsiTheme="majorHAnsi" w:cstheme="majorHAnsi"/>
          <w:color w:val="000000"/>
          <w:sz w:val="20"/>
          <w:szCs w:val="20"/>
        </w:rPr>
      </w:pPr>
    </w:p>
    <w:p w14:paraId="1DBF2CEF" w14:textId="2C0D32FA" w:rsidR="00787868" w:rsidRPr="00674319" w:rsidRDefault="00787868" w:rsidP="00787868">
      <w:pPr>
        <w:jc w:val="both"/>
        <w:rPr>
          <w:rFonts w:asciiTheme="majorHAnsi" w:eastAsia="Times New Roman" w:hAnsiTheme="majorHAnsi" w:cstheme="majorHAnsi"/>
          <w:sz w:val="20"/>
          <w:szCs w:val="20"/>
        </w:rPr>
      </w:pPr>
      <w:r w:rsidRPr="00674319">
        <w:rPr>
          <w:rFonts w:asciiTheme="majorHAnsi" w:eastAsia="Times New Roman" w:hAnsiTheme="majorHAnsi" w:cstheme="majorHAnsi"/>
          <w:color w:val="000000"/>
          <w:sz w:val="20"/>
          <w:szCs w:val="20"/>
        </w:rPr>
        <w:t>Rodiklio apskaičiavimo formulė: paslaugų hospitalizuotiems gyventojams, kuriems buvo organizuojamos tęstinės paslaugos už įstaigos ribų, skaičiaus santykis su hospitalizavimo atvejų skaičiumi procentais.</w:t>
      </w:r>
      <w:r w:rsidR="00673CE6">
        <w:rPr>
          <w:rFonts w:asciiTheme="majorHAnsi" w:eastAsia="Times New Roman" w:hAnsiTheme="majorHAnsi" w:cstheme="majorHAnsi"/>
          <w:color w:val="000000"/>
          <w:sz w:val="20"/>
          <w:szCs w:val="20"/>
        </w:rPr>
        <w:t xml:space="preserve"> </w:t>
      </w:r>
      <w:r w:rsidRPr="00674319">
        <w:rPr>
          <w:rFonts w:asciiTheme="majorHAnsi" w:eastAsia="Times New Roman" w:hAnsiTheme="majorHAnsi" w:cstheme="majorHAnsi"/>
          <w:color w:val="000000"/>
          <w:sz w:val="20"/>
          <w:szCs w:val="20"/>
        </w:rPr>
        <w:t>Rezultatai vertinami vieną kartą metų pabaigoje.</w:t>
      </w:r>
    </w:p>
    <w:p w14:paraId="4A2B7FC6" w14:textId="77777777" w:rsidR="00787868" w:rsidRPr="00674319" w:rsidRDefault="00787868" w:rsidP="00787868">
      <w:pPr>
        <w:jc w:val="both"/>
        <w:rPr>
          <w:rFonts w:asciiTheme="majorHAnsi" w:eastAsia="Times New Roman" w:hAnsiTheme="majorHAnsi" w:cstheme="majorHAnsi"/>
          <w:sz w:val="20"/>
          <w:szCs w:val="20"/>
        </w:rPr>
      </w:pPr>
      <w:r w:rsidRPr="00674319">
        <w:rPr>
          <w:rFonts w:asciiTheme="majorHAnsi" w:eastAsia="Times New Roman" w:hAnsiTheme="majorHAnsi" w:cstheme="majorHAnsi"/>
          <w:color w:val="000000"/>
          <w:sz w:val="20"/>
          <w:szCs w:val="20"/>
        </w:rPr>
        <w:t>Gyventojų, kuriems išvykus į gydymo įstaigas buvo užtikrintas paslaugų tęstinumas, skaičius nustatytas remiantis Kauno kartų namų gyventojų išvykimo į gydymo įstaigą 202</w:t>
      </w:r>
      <w:r>
        <w:rPr>
          <w:rFonts w:asciiTheme="majorHAnsi" w:eastAsia="Times New Roman" w:hAnsiTheme="majorHAnsi" w:cstheme="majorHAnsi"/>
          <w:color w:val="000000"/>
          <w:sz w:val="20"/>
          <w:szCs w:val="20"/>
        </w:rPr>
        <w:t>5</w:t>
      </w:r>
      <w:r w:rsidRPr="00674319">
        <w:rPr>
          <w:rFonts w:asciiTheme="majorHAnsi" w:eastAsia="Times New Roman" w:hAnsiTheme="majorHAnsi" w:cstheme="majorHAnsi"/>
          <w:color w:val="000000"/>
          <w:sz w:val="20"/>
          <w:szCs w:val="20"/>
        </w:rPr>
        <w:t xml:space="preserve"> m. registracija, hospitalizuojamam gyventojui skirtame žurnale pažymint suteiktų tęstinių paslaugų atvejus.</w:t>
      </w:r>
    </w:p>
    <w:p w14:paraId="207B0DCF" w14:textId="4B14631A" w:rsidR="00787868" w:rsidRDefault="00787868" w:rsidP="00787868">
      <w:pPr>
        <w:jc w:val="both"/>
        <w:rPr>
          <w:rFonts w:asciiTheme="majorHAnsi" w:eastAsia="Times New Roman" w:hAnsiTheme="majorHAnsi" w:cstheme="majorHAnsi"/>
          <w:color w:val="000000"/>
          <w:sz w:val="20"/>
          <w:szCs w:val="20"/>
        </w:rPr>
      </w:pPr>
      <w:r w:rsidRPr="00674319">
        <w:rPr>
          <w:rFonts w:asciiTheme="majorHAnsi" w:eastAsia="Times New Roman" w:hAnsiTheme="majorHAnsi" w:cstheme="majorHAnsi"/>
          <w:color w:val="000000"/>
          <w:sz w:val="20"/>
          <w:szCs w:val="20"/>
        </w:rPr>
        <w:t>Teikiamų tęstinių paslaugų apimtis nustatoma pagal tai, kiek kartų hospitalizacijos metu įstaigos gyventojai gavo tęstines paslaugas iš Kauno kartų namų darbuotojų. Šias paslaugas sudaro: transportavimo paslaugos, įstaigos darbuotojo tarpininkavimas užtikrinant gyventojo poreikių tenkinimą, gyventojo asmeninių pageidavimų išpildymas, aprūpinimas asmeniniais daiktais, higienos paslaugų suteikimas, dvasinių poreikių patenkinimas,</w:t>
      </w:r>
      <w:r>
        <w:rPr>
          <w:rFonts w:asciiTheme="majorHAnsi" w:eastAsia="Times New Roman" w:hAnsiTheme="majorHAnsi" w:cstheme="majorHAnsi"/>
          <w:color w:val="000000"/>
          <w:sz w:val="20"/>
          <w:szCs w:val="20"/>
        </w:rPr>
        <w:t xml:space="preserve"> komunikacija su artimaisiais ir medicinos personalu,</w:t>
      </w:r>
      <w:r w:rsidRPr="00674319">
        <w:rPr>
          <w:rFonts w:asciiTheme="majorHAnsi" w:eastAsia="Times New Roman" w:hAnsiTheme="majorHAnsi" w:cstheme="majorHAnsi"/>
          <w:color w:val="000000"/>
          <w:sz w:val="20"/>
          <w:szCs w:val="20"/>
        </w:rPr>
        <w:t xml:space="preserve"> kita.</w:t>
      </w:r>
      <w:r w:rsidRPr="00787868">
        <w:rPr>
          <w:rFonts w:asciiTheme="majorHAnsi" w:eastAsia="Times New Roman" w:hAnsiTheme="majorHAnsi" w:cstheme="majorHAnsi"/>
          <w:color w:val="000000"/>
          <w:sz w:val="20"/>
          <w:szCs w:val="20"/>
        </w:rPr>
        <w:t xml:space="preserve"> </w:t>
      </w:r>
      <w:r w:rsidRPr="00674319">
        <w:rPr>
          <w:rFonts w:asciiTheme="majorHAnsi" w:eastAsia="Times New Roman" w:hAnsiTheme="majorHAnsi" w:cstheme="majorHAnsi"/>
          <w:color w:val="000000"/>
          <w:sz w:val="20"/>
          <w:szCs w:val="20"/>
        </w:rPr>
        <w:t>Per 202</w:t>
      </w:r>
      <w:r>
        <w:rPr>
          <w:rFonts w:asciiTheme="majorHAnsi" w:eastAsia="Times New Roman" w:hAnsiTheme="majorHAnsi" w:cstheme="majorHAnsi"/>
          <w:color w:val="000000"/>
          <w:sz w:val="20"/>
          <w:szCs w:val="20"/>
        </w:rPr>
        <w:t>5</w:t>
      </w:r>
      <w:r w:rsidRPr="00674319">
        <w:rPr>
          <w:rFonts w:asciiTheme="majorHAnsi" w:eastAsia="Times New Roman" w:hAnsiTheme="majorHAnsi" w:cstheme="majorHAnsi"/>
          <w:color w:val="000000"/>
          <w:sz w:val="20"/>
          <w:szCs w:val="20"/>
        </w:rPr>
        <w:t xml:space="preserve"> m. laikotarpį hospitalizuotiems įstaigos gyventojams suteiktų tęstinių paslaugų skaičiaus santykis su hospitalizacijos atvejų skaičiumi </w:t>
      </w:r>
      <w:r w:rsidRPr="00575D2F">
        <w:rPr>
          <w:rFonts w:asciiTheme="majorHAnsi" w:eastAsia="Times New Roman" w:hAnsiTheme="majorHAnsi" w:cstheme="majorHAnsi"/>
          <w:color w:val="000000"/>
          <w:sz w:val="20"/>
          <w:szCs w:val="20"/>
        </w:rPr>
        <w:t>pateikiamas 1</w:t>
      </w:r>
      <w:r w:rsidR="00575D2F" w:rsidRPr="00575D2F">
        <w:rPr>
          <w:rFonts w:asciiTheme="majorHAnsi" w:eastAsia="Times New Roman" w:hAnsiTheme="majorHAnsi" w:cstheme="majorHAnsi"/>
          <w:color w:val="000000"/>
          <w:sz w:val="20"/>
          <w:szCs w:val="20"/>
        </w:rPr>
        <w:t>0</w:t>
      </w:r>
      <w:r w:rsidRPr="00575D2F">
        <w:rPr>
          <w:rFonts w:asciiTheme="majorHAnsi" w:eastAsia="Times New Roman" w:hAnsiTheme="majorHAnsi" w:cstheme="majorHAnsi"/>
          <w:color w:val="000000"/>
          <w:sz w:val="20"/>
          <w:szCs w:val="20"/>
        </w:rPr>
        <w:t xml:space="preserve"> pav.</w:t>
      </w:r>
    </w:p>
    <w:p w14:paraId="51705B83" w14:textId="77777777" w:rsidR="00F07F3D" w:rsidRDefault="00F07F3D" w:rsidP="00787868">
      <w:pPr>
        <w:jc w:val="both"/>
        <w:rPr>
          <w:rFonts w:asciiTheme="majorHAnsi" w:eastAsia="Times New Roman" w:hAnsiTheme="majorHAnsi" w:cstheme="majorHAnsi"/>
          <w:i/>
          <w:iCs/>
          <w:color w:val="000000"/>
          <w:sz w:val="20"/>
          <w:szCs w:val="20"/>
        </w:rPr>
      </w:pPr>
    </w:p>
    <w:p w14:paraId="68313BFB" w14:textId="1DE7673D" w:rsidR="00787868" w:rsidRPr="00674319" w:rsidRDefault="00787868" w:rsidP="00787868">
      <w:pPr>
        <w:jc w:val="both"/>
        <w:rPr>
          <w:rFonts w:asciiTheme="majorHAnsi" w:eastAsia="Times New Roman" w:hAnsiTheme="majorHAnsi" w:cstheme="majorHAnsi"/>
          <w:color w:val="000000"/>
          <w:sz w:val="20"/>
          <w:szCs w:val="20"/>
        </w:rPr>
      </w:pPr>
      <w:r w:rsidRPr="00575D2F">
        <w:rPr>
          <w:rFonts w:asciiTheme="majorHAnsi" w:eastAsia="Times New Roman" w:hAnsiTheme="majorHAnsi" w:cstheme="majorHAnsi"/>
          <w:i/>
          <w:iCs/>
          <w:color w:val="000000"/>
          <w:sz w:val="20"/>
          <w:szCs w:val="20"/>
        </w:rPr>
        <w:t>1</w:t>
      </w:r>
      <w:r w:rsidR="00575D2F" w:rsidRPr="00575D2F">
        <w:rPr>
          <w:rFonts w:asciiTheme="majorHAnsi" w:eastAsia="Times New Roman" w:hAnsiTheme="majorHAnsi" w:cstheme="majorHAnsi"/>
          <w:i/>
          <w:iCs/>
          <w:color w:val="000000"/>
          <w:sz w:val="20"/>
          <w:szCs w:val="20"/>
        </w:rPr>
        <w:t>0</w:t>
      </w:r>
      <w:r w:rsidRPr="00575D2F">
        <w:rPr>
          <w:rFonts w:asciiTheme="majorHAnsi" w:eastAsia="Times New Roman" w:hAnsiTheme="majorHAnsi" w:cstheme="majorHAnsi"/>
          <w:i/>
          <w:iCs/>
          <w:color w:val="000000"/>
          <w:sz w:val="20"/>
          <w:szCs w:val="20"/>
        </w:rPr>
        <w:t xml:space="preserve"> pav.</w:t>
      </w:r>
    </w:p>
    <w:p w14:paraId="43D6EC3E" w14:textId="77777777" w:rsidR="00787868" w:rsidRDefault="00787868" w:rsidP="00787868">
      <w:pPr>
        <w:jc w:val="center"/>
        <w:rPr>
          <w:rFonts w:asciiTheme="majorHAnsi" w:eastAsia="Times New Roman" w:hAnsiTheme="majorHAnsi" w:cstheme="majorHAnsi"/>
          <w:color w:val="000000"/>
          <w:sz w:val="20"/>
          <w:szCs w:val="20"/>
        </w:rPr>
      </w:pPr>
      <w:r>
        <w:rPr>
          <w:rFonts w:asciiTheme="majorHAnsi" w:eastAsia="Times New Roman" w:hAnsiTheme="majorHAnsi" w:cstheme="majorHAnsi"/>
          <w:noProof/>
          <w:color w:val="000000"/>
          <w:sz w:val="20"/>
          <w:szCs w:val="20"/>
        </w:rPr>
        <w:drawing>
          <wp:inline distT="0" distB="0" distL="0" distR="0" wp14:anchorId="00CE04C5" wp14:editId="06A36D51">
            <wp:extent cx="6066155" cy="2552131"/>
            <wp:effectExtent l="0" t="0" r="10795" b="635"/>
            <wp:docPr id="792960511" name="Diagrama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731DB1F" w14:textId="77777777" w:rsidR="00787868" w:rsidRDefault="00787868" w:rsidP="00787868">
      <w:pPr>
        <w:jc w:val="both"/>
        <w:rPr>
          <w:rFonts w:asciiTheme="majorHAnsi" w:eastAsia="Times New Roman" w:hAnsiTheme="majorHAnsi" w:cstheme="majorHAnsi"/>
          <w:color w:val="000000"/>
          <w:sz w:val="20"/>
          <w:szCs w:val="20"/>
        </w:rPr>
      </w:pPr>
    </w:p>
    <w:p w14:paraId="3EAFEA83" w14:textId="6DFF9337" w:rsidR="00787868" w:rsidRDefault="00787868" w:rsidP="00787868">
      <w:pPr>
        <w:jc w:val="both"/>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Tęstinių paslaugų suteikimo ir hospitalizacijos atvejų</w:t>
      </w:r>
      <w:r w:rsidRPr="00084732">
        <w:rPr>
          <w:rFonts w:asciiTheme="majorHAnsi" w:eastAsia="Times New Roman" w:hAnsiTheme="majorHAnsi" w:cstheme="majorHAnsi"/>
          <w:color w:val="000000"/>
          <w:sz w:val="20"/>
          <w:szCs w:val="20"/>
        </w:rPr>
        <w:t xml:space="preserve"> </w:t>
      </w:r>
      <w:r>
        <w:rPr>
          <w:rFonts w:asciiTheme="majorHAnsi" w:eastAsia="Times New Roman" w:hAnsiTheme="majorHAnsi" w:cstheme="majorHAnsi"/>
          <w:color w:val="000000"/>
          <w:sz w:val="20"/>
          <w:szCs w:val="20"/>
        </w:rPr>
        <w:t>santykis, kai 86,67 proc. (26 kartai) tęstinės paslaugos buvo gautos ir 13</w:t>
      </w:r>
      <w:r w:rsidR="00224549">
        <w:rPr>
          <w:rFonts w:asciiTheme="majorHAnsi" w:eastAsia="Times New Roman" w:hAnsiTheme="majorHAnsi" w:cstheme="majorHAnsi"/>
          <w:color w:val="000000"/>
          <w:sz w:val="20"/>
          <w:szCs w:val="20"/>
        </w:rPr>
        <w:t>,</w:t>
      </w:r>
      <w:r>
        <w:rPr>
          <w:rFonts w:asciiTheme="majorHAnsi" w:eastAsia="Times New Roman" w:hAnsiTheme="majorHAnsi" w:cstheme="majorHAnsi"/>
          <w:color w:val="000000"/>
          <w:sz w:val="20"/>
          <w:szCs w:val="20"/>
        </w:rPr>
        <w:t>33 proc. (4 kartai), kai negautos, paaiškinamas tuo, jog keturis kartus paslaugų gavėjai buvo hospitalizuoti tik vienai dienai, ir jie buvo lydimi artimųjų arba g</w:t>
      </w:r>
      <w:r w:rsidRPr="00084732">
        <w:rPr>
          <w:rFonts w:asciiTheme="majorHAnsi" w:eastAsia="Times New Roman" w:hAnsiTheme="majorHAnsi" w:cstheme="majorHAnsi"/>
          <w:color w:val="000000"/>
          <w:sz w:val="20"/>
          <w:szCs w:val="20"/>
        </w:rPr>
        <w:t>reitosios medicinos pagalbos tarnybos</w:t>
      </w:r>
      <w:r>
        <w:rPr>
          <w:rFonts w:asciiTheme="majorHAnsi" w:eastAsia="Times New Roman" w:hAnsiTheme="majorHAnsi" w:cstheme="majorHAnsi"/>
          <w:color w:val="000000"/>
          <w:sz w:val="20"/>
          <w:szCs w:val="20"/>
        </w:rPr>
        <w:t xml:space="preserve"> paslaugomis naudojosi savarankiškai.</w:t>
      </w:r>
    </w:p>
    <w:p w14:paraId="7DC46A8B" w14:textId="360E2A0D" w:rsidR="00787868" w:rsidRPr="00674319" w:rsidRDefault="00787868" w:rsidP="00787868">
      <w:pPr>
        <w:jc w:val="both"/>
        <w:rPr>
          <w:rFonts w:asciiTheme="majorHAnsi" w:eastAsia="Times New Roman" w:hAnsiTheme="majorHAnsi" w:cstheme="majorHAnsi"/>
          <w:color w:val="000000"/>
          <w:sz w:val="20"/>
          <w:szCs w:val="20"/>
        </w:rPr>
      </w:pPr>
      <w:r w:rsidRPr="00674319">
        <w:rPr>
          <w:rFonts w:asciiTheme="majorHAnsi" w:eastAsia="Times New Roman" w:hAnsiTheme="majorHAnsi" w:cstheme="majorHAnsi"/>
          <w:color w:val="000000"/>
          <w:sz w:val="20"/>
          <w:szCs w:val="20"/>
        </w:rPr>
        <w:t>Įvertinus gyventojų išvykimo į gydymo įstaigą gydytis duomenis nustatyta, kad 202</w:t>
      </w:r>
      <w:r>
        <w:rPr>
          <w:rFonts w:asciiTheme="majorHAnsi" w:eastAsia="Times New Roman" w:hAnsiTheme="majorHAnsi" w:cstheme="majorHAnsi"/>
          <w:color w:val="000000"/>
          <w:sz w:val="20"/>
          <w:szCs w:val="20"/>
        </w:rPr>
        <w:t>5</w:t>
      </w:r>
      <w:r w:rsidRPr="00674319">
        <w:rPr>
          <w:rFonts w:asciiTheme="majorHAnsi" w:eastAsia="Times New Roman" w:hAnsiTheme="majorHAnsi" w:cstheme="majorHAnsi"/>
          <w:color w:val="000000"/>
          <w:sz w:val="20"/>
          <w:szCs w:val="20"/>
        </w:rPr>
        <w:t xml:space="preserve"> m. Kauno kartų namų gyventojai buvo hospitalizuoti 3</w:t>
      </w:r>
      <w:r>
        <w:rPr>
          <w:rFonts w:asciiTheme="majorHAnsi" w:eastAsia="Times New Roman" w:hAnsiTheme="majorHAnsi" w:cstheme="majorHAnsi"/>
          <w:color w:val="000000"/>
          <w:sz w:val="20"/>
          <w:szCs w:val="20"/>
        </w:rPr>
        <w:t>0</w:t>
      </w:r>
      <w:r w:rsidRPr="00674319">
        <w:rPr>
          <w:rFonts w:asciiTheme="majorHAnsi" w:eastAsia="Times New Roman" w:hAnsiTheme="majorHAnsi" w:cstheme="majorHAnsi"/>
          <w:color w:val="000000"/>
          <w:sz w:val="20"/>
          <w:szCs w:val="20"/>
        </w:rPr>
        <w:t xml:space="preserve"> kart</w:t>
      </w:r>
      <w:r>
        <w:rPr>
          <w:rFonts w:asciiTheme="majorHAnsi" w:eastAsia="Times New Roman" w:hAnsiTheme="majorHAnsi" w:cstheme="majorHAnsi"/>
          <w:color w:val="000000"/>
          <w:sz w:val="20"/>
          <w:szCs w:val="20"/>
        </w:rPr>
        <w:t>ų</w:t>
      </w:r>
      <w:r w:rsidRPr="00674319">
        <w:rPr>
          <w:rFonts w:asciiTheme="majorHAnsi" w:eastAsia="Times New Roman" w:hAnsiTheme="majorHAnsi" w:cstheme="majorHAnsi"/>
          <w:color w:val="000000"/>
          <w:sz w:val="20"/>
          <w:szCs w:val="20"/>
        </w:rPr>
        <w:t xml:space="preserve">. Per šį laiką hospitalizuotiems gyventojams tęstinės paslaugos buvo suteiktos </w:t>
      </w:r>
      <w:r>
        <w:rPr>
          <w:rFonts w:asciiTheme="majorHAnsi" w:eastAsia="Times New Roman" w:hAnsiTheme="majorHAnsi" w:cstheme="majorHAnsi"/>
          <w:color w:val="000000"/>
          <w:sz w:val="20"/>
          <w:szCs w:val="20"/>
        </w:rPr>
        <w:t>69</w:t>
      </w:r>
      <w:r w:rsidRPr="00674319">
        <w:rPr>
          <w:rFonts w:asciiTheme="majorHAnsi" w:eastAsia="Times New Roman" w:hAnsiTheme="majorHAnsi" w:cstheme="majorHAnsi"/>
          <w:color w:val="000000"/>
          <w:sz w:val="20"/>
          <w:szCs w:val="20"/>
        </w:rPr>
        <w:t xml:space="preserve"> kartus, kas sudaro </w:t>
      </w:r>
      <w:r>
        <w:rPr>
          <w:rFonts w:asciiTheme="majorHAnsi" w:eastAsia="Times New Roman" w:hAnsiTheme="majorHAnsi" w:cstheme="majorHAnsi"/>
          <w:color w:val="000000"/>
          <w:sz w:val="20"/>
          <w:szCs w:val="20"/>
        </w:rPr>
        <w:t>2,3</w:t>
      </w:r>
      <w:r w:rsidRPr="00674319">
        <w:rPr>
          <w:rFonts w:asciiTheme="majorHAnsi" w:eastAsia="Times New Roman" w:hAnsiTheme="majorHAnsi" w:cstheme="majorHAnsi"/>
          <w:color w:val="000000"/>
          <w:sz w:val="20"/>
          <w:szCs w:val="20"/>
        </w:rPr>
        <w:t xml:space="preserve"> paslaugų suteikimo kartų vienam hospitalizavimo atvejui.</w:t>
      </w:r>
      <w:r>
        <w:rPr>
          <w:rFonts w:asciiTheme="majorHAnsi" w:eastAsia="Times New Roman" w:hAnsiTheme="majorHAnsi" w:cstheme="majorHAnsi"/>
          <w:color w:val="000000"/>
          <w:sz w:val="20"/>
          <w:szCs w:val="20"/>
        </w:rPr>
        <w:t xml:space="preserve"> Lyginant su 2024 m. duomenimis (4,39 kartai vienam hospitalizacijos atvejui), šis rezultatas užfiksuotas dėl sumažėjusios hospitalizacijos trukmės.</w:t>
      </w:r>
    </w:p>
    <w:p w14:paraId="775A09B6" w14:textId="61BD2F10" w:rsidR="00787868" w:rsidRDefault="00787868" w:rsidP="00787868">
      <w:pPr>
        <w:jc w:val="both"/>
        <w:rPr>
          <w:rFonts w:asciiTheme="majorHAnsi" w:eastAsia="Times New Roman" w:hAnsiTheme="majorHAnsi" w:cstheme="majorHAnsi"/>
          <w:sz w:val="20"/>
          <w:szCs w:val="20"/>
        </w:rPr>
      </w:pPr>
      <w:r w:rsidRPr="00674319">
        <w:rPr>
          <w:rFonts w:asciiTheme="majorHAnsi" w:eastAsia="Times New Roman" w:hAnsiTheme="majorHAnsi" w:cstheme="majorHAnsi"/>
          <w:color w:val="000000"/>
          <w:sz w:val="20"/>
          <w:szCs w:val="20"/>
        </w:rPr>
        <w:t xml:space="preserve">Siekiant įvertinti įstaigoje teikiamų tęstinių paslaugų raišką, pateikiamas hospitalizuotų gyventojų, kuriems buvo organizuojamos tęstinės paslaugos už įstaigos ribų, skaičiaus santykis su bendru gyventojų skaičiumi procentais. </w:t>
      </w:r>
    </w:p>
    <w:p w14:paraId="54338001" w14:textId="77777777" w:rsidR="00787868" w:rsidRDefault="00787868" w:rsidP="00787868">
      <w:pPr>
        <w:jc w:val="both"/>
        <w:rPr>
          <w:rFonts w:asciiTheme="majorHAnsi" w:eastAsia="Times New Roman" w:hAnsiTheme="majorHAnsi" w:cstheme="majorHAnsi"/>
          <w:sz w:val="20"/>
          <w:szCs w:val="20"/>
        </w:rPr>
      </w:pPr>
      <w:r w:rsidRPr="00674319">
        <w:rPr>
          <w:rFonts w:asciiTheme="majorHAnsi" w:eastAsia="Times New Roman" w:hAnsiTheme="majorHAnsi" w:cstheme="majorHAnsi"/>
          <w:sz w:val="20"/>
          <w:szCs w:val="20"/>
        </w:rPr>
        <w:t>Iš pateiktų rezultatų matyti, jog 202</w:t>
      </w:r>
      <w:r>
        <w:rPr>
          <w:rFonts w:asciiTheme="majorHAnsi" w:eastAsia="Times New Roman" w:hAnsiTheme="majorHAnsi" w:cstheme="majorHAnsi"/>
          <w:sz w:val="20"/>
          <w:szCs w:val="20"/>
        </w:rPr>
        <w:t>5</w:t>
      </w:r>
      <w:r w:rsidRPr="00674319">
        <w:rPr>
          <w:rFonts w:asciiTheme="majorHAnsi" w:eastAsia="Times New Roman" w:hAnsiTheme="majorHAnsi" w:cstheme="majorHAnsi"/>
          <w:sz w:val="20"/>
          <w:szCs w:val="20"/>
        </w:rPr>
        <w:t xml:space="preserve"> m. įstaigoje gyveno 4</w:t>
      </w:r>
      <w:r>
        <w:rPr>
          <w:rFonts w:asciiTheme="majorHAnsi" w:eastAsia="Times New Roman" w:hAnsiTheme="majorHAnsi" w:cstheme="majorHAnsi"/>
          <w:sz w:val="20"/>
          <w:szCs w:val="20"/>
        </w:rPr>
        <w:t>7</w:t>
      </w:r>
      <w:r w:rsidRPr="00674319">
        <w:rPr>
          <w:rFonts w:asciiTheme="majorHAnsi" w:eastAsia="Times New Roman" w:hAnsiTheme="majorHAnsi" w:cstheme="majorHAnsi"/>
          <w:sz w:val="20"/>
          <w:szCs w:val="20"/>
        </w:rPr>
        <w:t xml:space="preserve"> asmenys, iš kurių hospitalizacijos paslaugas gavo </w:t>
      </w:r>
      <w:r>
        <w:rPr>
          <w:rFonts w:asciiTheme="majorHAnsi" w:eastAsia="Times New Roman" w:hAnsiTheme="majorHAnsi" w:cstheme="majorHAnsi"/>
          <w:sz w:val="20"/>
          <w:szCs w:val="20"/>
        </w:rPr>
        <w:t>18</w:t>
      </w:r>
      <w:r w:rsidRPr="00674319">
        <w:rPr>
          <w:rFonts w:asciiTheme="majorHAnsi" w:eastAsia="Times New Roman" w:hAnsiTheme="majorHAnsi" w:cstheme="majorHAnsi"/>
          <w:sz w:val="20"/>
          <w:szCs w:val="20"/>
        </w:rPr>
        <w:t xml:space="preserve"> gyventoj</w:t>
      </w:r>
      <w:r>
        <w:rPr>
          <w:rFonts w:asciiTheme="majorHAnsi" w:eastAsia="Times New Roman" w:hAnsiTheme="majorHAnsi" w:cstheme="majorHAnsi"/>
          <w:sz w:val="20"/>
          <w:szCs w:val="20"/>
        </w:rPr>
        <w:t>ų</w:t>
      </w:r>
      <w:r w:rsidRPr="00674319">
        <w:rPr>
          <w:rFonts w:asciiTheme="majorHAnsi" w:eastAsia="Times New Roman" w:hAnsiTheme="majorHAnsi" w:cstheme="majorHAnsi"/>
          <w:sz w:val="20"/>
          <w:szCs w:val="20"/>
        </w:rPr>
        <w:t>.</w:t>
      </w:r>
    </w:p>
    <w:p w14:paraId="3A269E6F" w14:textId="77777777" w:rsidR="00787868" w:rsidRPr="00674319" w:rsidRDefault="00787868" w:rsidP="00787868">
      <w:pPr>
        <w:jc w:val="both"/>
        <w:rPr>
          <w:rFonts w:asciiTheme="majorHAnsi" w:eastAsia="Times New Roman" w:hAnsiTheme="majorHAnsi" w:cstheme="majorHAnsi"/>
          <w:sz w:val="20"/>
          <w:szCs w:val="20"/>
        </w:rPr>
      </w:pPr>
    </w:p>
    <w:p w14:paraId="3C2A7DB3" w14:textId="77777777" w:rsidR="00787868" w:rsidRPr="00787868" w:rsidRDefault="00787868" w:rsidP="00787868">
      <w:pPr>
        <w:jc w:val="both"/>
        <w:rPr>
          <w:rFonts w:asciiTheme="majorHAnsi" w:eastAsia="Times New Roman" w:hAnsiTheme="majorHAnsi" w:cstheme="majorHAnsi"/>
          <w:b/>
          <w:bCs/>
          <w:color w:val="000000"/>
          <w:sz w:val="20"/>
          <w:szCs w:val="20"/>
        </w:rPr>
      </w:pPr>
      <w:r w:rsidRPr="00787868">
        <w:rPr>
          <w:rFonts w:asciiTheme="majorHAnsi" w:eastAsia="Times New Roman" w:hAnsiTheme="majorHAnsi" w:cstheme="majorHAnsi"/>
          <w:b/>
          <w:bCs/>
          <w:color w:val="000000"/>
          <w:sz w:val="20"/>
          <w:szCs w:val="20"/>
        </w:rPr>
        <w:t>Išvada:</w:t>
      </w:r>
    </w:p>
    <w:p w14:paraId="56C28DFD" w14:textId="587011EF" w:rsidR="00787868" w:rsidRPr="00674319" w:rsidRDefault="00787868" w:rsidP="00787868">
      <w:pPr>
        <w:jc w:val="both"/>
        <w:rPr>
          <w:rFonts w:asciiTheme="majorHAnsi" w:eastAsia="Times New Roman" w:hAnsiTheme="majorHAnsi" w:cstheme="majorHAnsi"/>
          <w:sz w:val="20"/>
          <w:szCs w:val="20"/>
        </w:rPr>
      </w:pPr>
      <w:r w:rsidRPr="00674319">
        <w:rPr>
          <w:rFonts w:asciiTheme="majorHAnsi" w:eastAsia="Times New Roman" w:hAnsiTheme="majorHAnsi" w:cstheme="majorHAnsi"/>
          <w:color w:val="000000"/>
          <w:sz w:val="20"/>
          <w:szCs w:val="20"/>
        </w:rPr>
        <w:t>Kauno kartų namų paslaugų gavėjams buvo visapusiškai užtikrintas teikiamų paslaugų tęstinumas hospitalizacijos metu, papildomas paslaugas jiems teikiant dėl atsiradusio poreikio.</w:t>
      </w:r>
    </w:p>
    <w:p w14:paraId="2F5C053E" w14:textId="06E8579A" w:rsidR="00813B63" w:rsidRPr="00F248C2" w:rsidRDefault="00813B63" w:rsidP="00234A49">
      <w:pPr>
        <w:spacing w:after="160" w:line="259" w:lineRule="auto"/>
        <w:rPr>
          <w:rFonts w:asciiTheme="majorHAnsi" w:hAnsiTheme="majorHAnsi" w:cstheme="majorHAnsi"/>
          <w:b/>
          <w:bCs/>
        </w:rPr>
      </w:pPr>
      <w:r w:rsidRPr="00F248C2">
        <w:rPr>
          <w:rFonts w:asciiTheme="majorHAnsi" w:hAnsiTheme="majorHAnsi" w:cstheme="majorHAnsi"/>
          <w:b/>
          <w:bCs/>
        </w:rPr>
        <w:br w:type="page"/>
      </w:r>
    </w:p>
    <w:p w14:paraId="6427E7A5" w14:textId="1A100DAE" w:rsidR="006100B6" w:rsidRDefault="006100B6" w:rsidP="006100B6">
      <w:pPr>
        <w:rPr>
          <w:rFonts w:ascii="Calibri Light" w:eastAsia="Times New Roman" w:hAnsi="Calibri Light" w:cs="Calibri Light"/>
          <w:b/>
          <w:bCs/>
          <w:i/>
          <w:iCs/>
          <w:sz w:val="20"/>
          <w:szCs w:val="20"/>
        </w:rPr>
      </w:pPr>
      <w:r w:rsidRPr="00776AAD">
        <w:rPr>
          <w:rFonts w:ascii="Calibri Light" w:hAnsi="Calibri Light" w:cs="Calibri Light"/>
          <w:b/>
          <w:bCs/>
        </w:rPr>
        <w:lastRenderedPageBreak/>
        <w:t>REZULTATAI, RODANTYS PASLAUGŲ REZULTATUS IR NAUDĄ PASLAUGŲ GAVĖJAMS INDIVIDUALIU IR KOLEKTYVINIU POŽIŪRIU, 2025 metai</w:t>
      </w:r>
    </w:p>
    <w:p w14:paraId="69EE9FAC" w14:textId="77777777" w:rsidR="006100B6" w:rsidRDefault="006100B6" w:rsidP="006100B6">
      <w:pPr>
        <w:pStyle w:val="NormalWeb"/>
        <w:spacing w:before="0" w:beforeAutospacing="0" w:after="0" w:afterAutospacing="0"/>
        <w:rPr>
          <w:rFonts w:ascii="Calibri Light" w:hAnsi="Calibri Light" w:cs="Calibri Light"/>
          <w:sz w:val="20"/>
          <w:szCs w:val="20"/>
        </w:rPr>
      </w:pPr>
    </w:p>
    <w:p w14:paraId="0270778F" w14:textId="77777777" w:rsidR="006100B6" w:rsidRDefault="006100B6" w:rsidP="006100B6">
      <w:pPr>
        <w:jc w:val="both"/>
        <w:rPr>
          <w:rFonts w:ascii="Calibri Light" w:eastAsia="Times New Roman" w:hAnsi="Calibri Light" w:cs="Calibri Light"/>
          <w:sz w:val="22"/>
          <w:szCs w:val="22"/>
        </w:rPr>
      </w:pPr>
      <w:r>
        <w:rPr>
          <w:rFonts w:ascii="Calibri Light" w:eastAsia="Times New Roman" w:hAnsi="Calibri Light" w:cs="Calibri Light"/>
          <w:sz w:val="22"/>
          <w:szCs w:val="22"/>
        </w:rPr>
        <w:t>43 KRITERIJUS: Socialinių paslaugų teikėjas fiksuoja suteiktų paslaugų rezultatus ir naudą paslaugų gavėjui individualiu ir kolektyviniu požiūriu.</w:t>
      </w:r>
    </w:p>
    <w:p w14:paraId="2FA755E8" w14:textId="77777777" w:rsidR="006100B6" w:rsidRDefault="006100B6" w:rsidP="006100B6">
      <w:pPr>
        <w:jc w:val="both"/>
        <w:rPr>
          <w:rFonts w:ascii="Calibri Light" w:eastAsia="Times New Roman" w:hAnsi="Calibri Light" w:cs="Calibri Light"/>
          <w:sz w:val="22"/>
          <w:szCs w:val="22"/>
        </w:rPr>
      </w:pPr>
    </w:p>
    <w:p w14:paraId="41977E86" w14:textId="77777777" w:rsidR="006100B6" w:rsidRDefault="006100B6" w:rsidP="006100B6">
      <w:pPr>
        <w:pStyle w:val="NormalWeb"/>
        <w:spacing w:before="0" w:beforeAutospacing="0" w:after="0" w:afterAutospacing="0"/>
        <w:jc w:val="both"/>
        <w:rPr>
          <w:rFonts w:ascii="Calibri Light" w:hAnsi="Calibri Light" w:cs="Calibri Light"/>
          <w:i/>
          <w:iCs/>
          <w:sz w:val="20"/>
          <w:szCs w:val="20"/>
        </w:rPr>
      </w:pPr>
      <w:r>
        <w:rPr>
          <w:rFonts w:ascii="Calibri Light" w:hAnsi="Calibri Light" w:cs="Calibri Light"/>
          <w:sz w:val="20"/>
          <w:szCs w:val="20"/>
        </w:rPr>
        <w:t xml:space="preserve">Rodiklis: </w:t>
      </w:r>
      <w:r>
        <w:rPr>
          <w:rFonts w:ascii="Calibri Light" w:hAnsi="Calibri Light" w:cs="Calibri Light"/>
          <w:i/>
          <w:iCs/>
          <w:sz w:val="20"/>
          <w:szCs w:val="20"/>
        </w:rPr>
        <w:t>Paslaugų poveikis paslaugų gavėjų gyvenimo kokybės sritims įstaigos ir individualiu lygmeniu.</w:t>
      </w:r>
    </w:p>
    <w:p w14:paraId="6BDDB1F8" w14:textId="77777777" w:rsidR="006100B6" w:rsidRDefault="006100B6" w:rsidP="006100B6">
      <w:pPr>
        <w:jc w:val="both"/>
        <w:rPr>
          <w:rFonts w:ascii="Calibri Light" w:eastAsia="Times New Roman" w:hAnsi="Calibri Light" w:cs="Calibri Light"/>
          <w:sz w:val="20"/>
          <w:szCs w:val="20"/>
        </w:rPr>
      </w:pPr>
    </w:p>
    <w:p w14:paraId="33016863" w14:textId="77777777" w:rsidR="006100B6" w:rsidRDefault="006100B6" w:rsidP="006100B6">
      <w:pPr>
        <w:jc w:val="both"/>
        <w:rPr>
          <w:rFonts w:ascii="Calibri Light" w:eastAsia="Times New Roman" w:hAnsi="Calibri Light" w:cs="Calibri Light"/>
          <w:iCs/>
          <w:sz w:val="20"/>
          <w:szCs w:val="20"/>
        </w:rPr>
      </w:pPr>
      <w:r>
        <w:rPr>
          <w:rFonts w:ascii="Calibri Light" w:eastAsia="Times New Roman" w:hAnsi="Calibri Light" w:cs="Calibri Light"/>
          <w:sz w:val="20"/>
          <w:szCs w:val="20"/>
        </w:rPr>
        <w:t xml:space="preserve">Rodiklio apskaičiavimo formulė: teigiamas paslaugų gavėjų GK pokytis atskirose srityse gaunant ilgalaikės globos paslaugas paslaugų gavėjų vertinimu 2024 - 2025 m. </w:t>
      </w:r>
      <w:r>
        <w:rPr>
          <w:rFonts w:ascii="Calibri Light" w:eastAsia="Times New Roman" w:hAnsi="Calibri Light" w:cs="Calibri Light"/>
          <w:iCs/>
          <w:sz w:val="20"/>
          <w:szCs w:val="20"/>
        </w:rPr>
        <w:t xml:space="preserve">Rezultatai vertinami metų pabaigoje. Lyginimas paskutinių dviejų metų rezultatas. </w:t>
      </w:r>
    </w:p>
    <w:p w14:paraId="580E6A04" w14:textId="77777777" w:rsidR="006100B6" w:rsidRDefault="006100B6" w:rsidP="006100B6">
      <w:pPr>
        <w:jc w:val="both"/>
        <w:rPr>
          <w:rFonts w:ascii="Calibri Light" w:eastAsia="Times New Roman" w:hAnsi="Calibri Light" w:cs="Calibri Light"/>
          <w:iCs/>
          <w:sz w:val="20"/>
          <w:szCs w:val="20"/>
        </w:rPr>
      </w:pPr>
    </w:p>
    <w:p w14:paraId="3C06034E" w14:textId="77777777" w:rsidR="006100B6" w:rsidRDefault="006100B6" w:rsidP="006100B6">
      <w:pPr>
        <w:jc w:val="both"/>
        <w:rPr>
          <w:rFonts w:ascii="Calibri Light" w:hAnsi="Calibri Light" w:cs="Calibri Light"/>
          <w:sz w:val="20"/>
          <w:szCs w:val="20"/>
        </w:rPr>
      </w:pPr>
      <w:r>
        <w:rPr>
          <w:rFonts w:ascii="Calibri Light" w:eastAsia="Times New Roman" w:hAnsi="Calibri Light" w:cs="Calibri Light"/>
          <w:sz w:val="20"/>
          <w:szCs w:val="20"/>
        </w:rPr>
        <w:t>Gyvenimo kokybės klausimyną gyventojai pildė savarankiškai arba su socialinės darbuotojos pagalba. Klausimyne yra 24 teiginiai prie kurių reikia pažymėti vieną iš trijų atsakymų: “nesutinku”, “nei sutinku nei nesutinku”, “sutinku”. Diagramoje pateikiamas tik „sutinku“ vertinimas, siekiant atskleisti teigiamą teikiamų paslaugų pokytį.</w:t>
      </w:r>
    </w:p>
    <w:p w14:paraId="4FF914FD" w14:textId="77777777" w:rsidR="00137C20" w:rsidRDefault="00137C20" w:rsidP="00575D2F">
      <w:pPr>
        <w:rPr>
          <w:rFonts w:ascii="Calibri Light" w:eastAsia="Times New Roman" w:hAnsi="Calibri Light" w:cs="Calibri Light"/>
          <w:i/>
          <w:sz w:val="20"/>
          <w:szCs w:val="20"/>
        </w:rPr>
      </w:pPr>
    </w:p>
    <w:p w14:paraId="63FEDD50" w14:textId="7CC295C8" w:rsidR="006100B6" w:rsidRDefault="00575D2F" w:rsidP="00575D2F">
      <w:pPr>
        <w:rPr>
          <w:rFonts w:ascii="Calibri Light" w:eastAsia="Times New Roman" w:hAnsi="Calibri Light" w:cs="Calibri Light"/>
          <w:bCs/>
          <w:sz w:val="20"/>
          <w:szCs w:val="20"/>
          <w:lang w:val="en-US"/>
        </w:rPr>
      </w:pPr>
      <w:r w:rsidRPr="00575D2F">
        <w:rPr>
          <w:rFonts w:ascii="Calibri Light" w:eastAsia="Times New Roman" w:hAnsi="Calibri Light" w:cs="Calibri Light"/>
          <w:i/>
          <w:sz w:val="20"/>
          <w:szCs w:val="20"/>
        </w:rPr>
        <w:t>11 pav</w:t>
      </w:r>
      <w:r>
        <w:rPr>
          <w:rFonts w:ascii="Calibri Light" w:eastAsia="Times New Roman" w:hAnsi="Calibri Light" w:cs="Calibri Light"/>
          <w:iCs/>
          <w:sz w:val="20"/>
          <w:szCs w:val="20"/>
        </w:rPr>
        <w:t xml:space="preserve">. </w:t>
      </w:r>
      <w:r w:rsidR="006100B6">
        <w:rPr>
          <w:noProof/>
        </w:rPr>
        <w:drawing>
          <wp:inline distT="0" distB="0" distL="0" distR="0" wp14:anchorId="75AFFEF1" wp14:editId="5122CBC5">
            <wp:extent cx="5895975" cy="2743200"/>
            <wp:effectExtent l="0" t="0" r="9525" b="0"/>
            <wp:docPr id="1429397263" name="Diagrama 1">
              <a:extLst xmlns:a="http://schemas.openxmlformats.org/drawingml/2006/main">
                <a:ext uri="{FF2B5EF4-FFF2-40B4-BE49-F238E27FC236}">
                  <a16:creationId xmlns:a16="http://schemas.microsoft.com/office/drawing/2014/main" id="{2359D56F-DC94-50E3-A3A3-1F31875160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07D8580" w14:textId="77777777" w:rsidR="006A71EE" w:rsidRDefault="006100B6" w:rsidP="006A71EE">
      <w:pPr>
        <w:spacing w:before="100" w:beforeAutospacing="1" w:after="100" w:afterAutospacing="1"/>
        <w:jc w:val="both"/>
        <w:rPr>
          <w:rFonts w:ascii="Calibri Light" w:eastAsia="Times New Roman" w:hAnsi="Calibri Light" w:cs="Calibri Light"/>
          <w:bCs/>
          <w:sz w:val="20"/>
          <w:szCs w:val="20"/>
        </w:rPr>
      </w:pPr>
      <w:r>
        <w:rPr>
          <w:rFonts w:ascii="Calibri Light" w:hAnsi="Calibri Light" w:cs="Calibri Light"/>
          <w:sz w:val="20"/>
          <w:szCs w:val="20"/>
        </w:rPr>
        <w:t>2024 m. 88 proc. gyventojų teigiamai įvertino sveikatos sritį,</w:t>
      </w:r>
      <w:r w:rsidRPr="00F8599D">
        <w:rPr>
          <w:rFonts w:ascii="Calibri Light" w:eastAsia="Times New Roman" w:hAnsi="Calibri Light" w:cs="Calibri Light"/>
          <w:bCs/>
          <w:sz w:val="20"/>
          <w:szCs w:val="20"/>
        </w:rPr>
        <w:t xml:space="preserve"> o 2025 m. – 80 %. Tai 8 procentinių punktų sumažėjimas. </w:t>
      </w:r>
      <w:r w:rsidRPr="000B58E0">
        <w:rPr>
          <w:rFonts w:ascii="Calibri Light" w:eastAsia="Times New Roman" w:hAnsi="Calibri Light" w:cs="Calibri Light"/>
          <w:sz w:val="20"/>
          <w:szCs w:val="20"/>
        </w:rPr>
        <w:t>Gerbūvis</w:t>
      </w:r>
      <w:r w:rsidRPr="00F8599D">
        <w:rPr>
          <w:rFonts w:ascii="Calibri Light" w:eastAsia="Times New Roman" w:hAnsi="Calibri Light" w:cs="Calibri Light"/>
          <w:bCs/>
          <w:sz w:val="20"/>
          <w:szCs w:val="20"/>
        </w:rPr>
        <w:t xml:space="preserve"> 2024 m. rodiklis siekė 93 %, o 2025 m. – 86 %, sumažėjo 7 procentiniais punktais. </w:t>
      </w:r>
      <w:r w:rsidRPr="000B58E0">
        <w:rPr>
          <w:rFonts w:ascii="Calibri Light" w:eastAsia="Times New Roman" w:hAnsi="Calibri Light" w:cs="Calibri Light"/>
          <w:sz w:val="20"/>
          <w:szCs w:val="20"/>
        </w:rPr>
        <w:t>Saugumas</w:t>
      </w:r>
      <w:r w:rsidRPr="00F8599D">
        <w:rPr>
          <w:rFonts w:ascii="Calibri Light" w:eastAsia="Times New Roman" w:hAnsi="Calibri Light" w:cs="Calibri Light"/>
          <w:bCs/>
          <w:sz w:val="20"/>
          <w:szCs w:val="20"/>
        </w:rPr>
        <w:t xml:space="preserve"> 2024 m. vertinimas buvo 93 %, o 2025 m. – 81 %. Tai didžiausias kritimas – 12 procentinių punktų. </w:t>
      </w:r>
      <w:r w:rsidRPr="000B58E0">
        <w:rPr>
          <w:rFonts w:ascii="Calibri Light" w:eastAsia="Times New Roman" w:hAnsi="Calibri Light" w:cs="Calibri Light"/>
          <w:sz w:val="20"/>
          <w:szCs w:val="20"/>
        </w:rPr>
        <w:t>Socialiniai ryšiai</w:t>
      </w:r>
      <w:r w:rsidRPr="00F8599D">
        <w:rPr>
          <w:rFonts w:ascii="Calibri Light" w:eastAsia="Times New Roman" w:hAnsi="Calibri Light" w:cs="Calibri Light"/>
          <w:bCs/>
          <w:sz w:val="20"/>
          <w:szCs w:val="20"/>
        </w:rPr>
        <w:t xml:space="preserve"> 2024 m. rodiklis sudarė 92 %, o 2025 m. – 82 %, sumažėjo 10 procentinių punktų. </w:t>
      </w:r>
      <w:r w:rsidRPr="000B58E0">
        <w:rPr>
          <w:rFonts w:ascii="Calibri Light" w:eastAsia="Times New Roman" w:hAnsi="Calibri Light" w:cs="Calibri Light"/>
          <w:sz w:val="20"/>
          <w:szCs w:val="20"/>
        </w:rPr>
        <w:t>Savirealizacija</w:t>
      </w:r>
      <w:r w:rsidRPr="00F8599D">
        <w:rPr>
          <w:rFonts w:ascii="Calibri Light" w:eastAsia="Times New Roman" w:hAnsi="Calibri Light" w:cs="Calibri Light"/>
          <w:bCs/>
          <w:sz w:val="20"/>
          <w:szCs w:val="20"/>
        </w:rPr>
        <w:t xml:space="preserve"> 2024 m. buvo įvertinta 92 %, o 2025 m. – 89 %, todėl sumažėjimas mažiausias – tik 3 procentiniai punktai. </w:t>
      </w:r>
      <w:r w:rsidR="006A71EE">
        <w:rPr>
          <w:rFonts w:ascii="Calibri Light" w:eastAsia="Times New Roman" w:hAnsi="Calibri Light" w:cs="Calibri Light"/>
          <w:bCs/>
          <w:sz w:val="20"/>
          <w:szCs w:val="20"/>
        </w:rPr>
        <w:t xml:space="preserve">Taigi, kolektyviniu lygmeniu </w:t>
      </w:r>
      <w:r w:rsidR="006A71EE" w:rsidRPr="00F8599D">
        <w:rPr>
          <w:rFonts w:ascii="Calibri Light" w:eastAsia="Times New Roman" w:hAnsi="Calibri Light" w:cs="Calibri Light"/>
          <w:bCs/>
          <w:sz w:val="20"/>
          <w:szCs w:val="20"/>
        </w:rPr>
        <w:t xml:space="preserve">aukščiausiai abiem metais buvo vertinami gerbūvio, saugumo ir savirealizacijos aspektai. Didžiausias neigiamas pokytis užfiksuotas saugumo srityje, o mažiausias – savirealizacijos. Nepaisant sumažėjusių rodiklių 2025 m., visų sričių vertinimai išliko gana aukšti ir viršijo </w:t>
      </w:r>
      <w:r w:rsidR="006A71EE">
        <w:rPr>
          <w:rFonts w:ascii="Calibri Light" w:eastAsia="Times New Roman" w:hAnsi="Calibri Light" w:cs="Calibri Light"/>
          <w:bCs/>
          <w:sz w:val="20"/>
          <w:szCs w:val="20"/>
        </w:rPr>
        <w:t xml:space="preserve">siekiamą </w:t>
      </w:r>
      <w:r w:rsidR="006A71EE" w:rsidRPr="00F8599D">
        <w:rPr>
          <w:rFonts w:ascii="Calibri Light" w:eastAsia="Times New Roman" w:hAnsi="Calibri Light" w:cs="Calibri Light"/>
          <w:bCs/>
          <w:sz w:val="20"/>
          <w:szCs w:val="20"/>
        </w:rPr>
        <w:t>80 %</w:t>
      </w:r>
      <w:r w:rsidR="006A71EE">
        <w:rPr>
          <w:rFonts w:ascii="Calibri Light" w:eastAsia="Times New Roman" w:hAnsi="Calibri Light" w:cs="Calibri Light"/>
          <w:bCs/>
          <w:sz w:val="20"/>
          <w:szCs w:val="20"/>
        </w:rPr>
        <w:t xml:space="preserve"> ribą</w:t>
      </w:r>
      <w:r w:rsidR="006A71EE" w:rsidRPr="00F8599D">
        <w:rPr>
          <w:rFonts w:ascii="Calibri Light" w:eastAsia="Times New Roman" w:hAnsi="Calibri Light" w:cs="Calibri Light"/>
          <w:bCs/>
          <w:sz w:val="20"/>
          <w:szCs w:val="20"/>
        </w:rPr>
        <w:t>.</w:t>
      </w:r>
      <w:r w:rsidR="006A71EE">
        <w:rPr>
          <w:rFonts w:ascii="Calibri Light" w:eastAsia="Times New Roman" w:hAnsi="Calibri Light" w:cs="Calibri Light"/>
          <w:bCs/>
          <w:sz w:val="20"/>
          <w:szCs w:val="20"/>
        </w:rPr>
        <w:t xml:space="preserve"> </w:t>
      </w:r>
    </w:p>
    <w:p w14:paraId="65CA2D1B" w14:textId="734BD4D2" w:rsidR="006A71EE" w:rsidRDefault="006A71EE" w:rsidP="006A71EE">
      <w:pPr>
        <w:spacing w:before="100" w:beforeAutospacing="1" w:after="100" w:afterAutospacing="1"/>
        <w:jc w:val="both"/>
        <w:rPr>
          <w:rFonts w:ascii="Calibri Light" w:hAnsi="Calibri Light" w:cs="Calibri Light"/>
          <w:sz w:val="20"/>
          <w:szCs w:val="20"/>
        </w:rPr>
      </w:pPr>
      <w:r w:rsidRPr="00F248C2">
        <w:rPr>
          <w:rFonts w:ascii="Calibri Light" w:hAnsi="Calibri Light" w:cs="Calibri Light"/>
          <w:bCs/>
          <w:sz w:val="20"/>
          <w:szCs w:val="20"/>
        </w:rPr>
        <w:t>Individualus požiūris</w:t>
      </w:r>
      <w:r w:rsidRPr="00F248C2">
        <w:rPr>
          <w:rFonts w:ascii="Calibri Light" w:hAnsi="Calibri Light" w:cs="Calibri Light"/>
          <w:sz w:val="20"/>
          <w:szCs w:val="20"/>
        </w:rPr>
        <w:t xml:space="preserve"> leidžia detaliai analizuoti, kaip konkreti paslauga paveikė atskirą asmenį. Detalesnė analizė pateikta individualiose bylose, kur lyginami klausimynų duomenys iš 202</w:t>
      </w:r>
      <w:r>
        <w:rPr>
          <w:rFonts w:ascii="Calibri Light" w:hAnsi="Calibri Light" w:cs="Calibri Light"/>
          <w:sz w:val="20"/>
          <w:szCs w:val="20"/>
        </w:rPr>
        <w:t>4</w:t>
      </w:r>
      <w:r w:rsidRPr="00F248C2">
        <w:rPr>
          <w:rFonts w:ascii="Calibri Light" w:hAnsi="Calibri Light" w:cs="Calibri Light"/>
          <w:sz w:val="20"/>
          <w:szCs w:val="20"/>
        </w:rPr>
        <w:t xml:space="preserve"> ir 202</w:t>
      </w:r>
      <w:r>
        <w:rPr>
          <w:rFonts w:ascii="Calibri Light" w:hAnsi="Calibri Light" w:cs="Calibri Light"/>
          <w:sz w:val="20"/>
          <w:szCs w:val="20"/>
        </w:rPr>
        <w:t>5</w:t>
      </w:r>
      <w:r w:rsidRPr="00F248C2">
        <w:rPr>
          <w:rFonts w:ascii="Calibri Light" w:hAnsi="Calibri Light" w:cs="Calibri Light"/>
          <w:sz w:val="20"/>
          <w:szCs w:val="20"/>
        </w:rPr>
        <w:t xml:space="preserve"> metų. Šis procesas leidžia pastebėti asmens progresą, gyvenimo kokybės pokyčius, iššūkių sprendimą ar pasitenkinimą gautomis paslaugomis.</w:t>
      </w:r>
      <w:r>
        <w:rPr>
          <w:rFonts w:ascii="Calibri Light" w:hAnsi="Calibri Light" w:cs="Calibri Light"/>
          <w:sz w:val="20"/>
          <w:szCs w:val="20"/>
        </w:rPr>
        <w:t xml:space="preserve"> </w:t>
      </w:r>
      <w:r w:rsidRPr="00F248C2">
        <w:rPr>
          <w:rFonts w:asciiTheme="majorHAnsi" w:eastAsia="Times New Roman" w:hAnsiTheme="majorHAnsi" w:cstheme="majorHAnsi"/>
          <w:sz w:val="20"/>
          <w:szCs w:val="20"/>
        </w:rPr>
        <w:t xml:space="preserve">Kiekvieno asmens gyvenimo kokybės diagramos laikomos asmens bylose ir peržiūrimos, siekiant palyginti praėjusių metų rezultatus  ir panaudoti jų duomenis sudarant metinius ISGP. </w:t>
      </w:r>
      <w:r w:rsidRPr="00221F12">
        <w:rPr>
          <w:rFonts w:ascii="Calibri Light" w:hAnsi="Calibri Light" w:cs="Calibri Light"/>
          <w:sz w:val="20"/>
          <w:szCs w:val="20"/>
        </w:rPr>
        <w:t>Paslaugų gavėjų gyvenimo kokybės pokytis individualiu lygmeniu – tai rodiklis, atspindintis, kaip paslaugos paveikė asmens kasdienybę, gerovę ir savijautą. Jis matuojamas atsižvelgiant į pagrindines gyvenimo sritis: savirealizaciją, socialinius ryšius, saugumą, gerbūvį ir sveikatą. Šis vertinimas leidžia suprasti, kaip teikiamos paslaugos prisideda prie žmogaus gyvenimo kokybės gerinimo, skatinant didesnį įsitraukimą į bendruomenę, bei emocinį ir fizinį komfortą. Rodiklis pildomas kartą per metus, siekiant stiprinti nuolatinį paslaugų tobulinimą.</w:t>
      </w:r>
      <w:r>
        <w:rPr>
          <w:rFonts w:ascii="Calibri Light" w:hAnsi="Calibri Light" w:cs="Calibri Light"/>
          <w:sz w:val="20"/>
          <w:szCs w:val="20"/>
        </w:rPr>
        <w:t xml:space="preserve"> </w:t>
      </w:r>
      <w:r w:rsidR="002B5272">
        <w:rPr>
          <w:rFonts w:asciiTheme="majorHAnsi" w:eastAsia="Times New Roman" w:hAnsiTheme="majorHAnsi" w:cstheme="majorHAnsi"/>
          <w:sz w:val="20"/>
          <w:szCs w:val="20"/>
        </w:rPr>
        <w:t>Žemiau pateikiami d</w:t>
      </w:r>
      <w:r w:rsidR="00AE52C4">
        <w:rPr>
          <w:rFonts w:asciiTheme="majorHAnsi" w:eastAsia="Times New Roman" w:hAnsiTheme="majorHAnsi" w:cstheme="majorHAnsi"/>
          <w:sz w:val="20"/>
          <w:szCs w:val="20"/>
        </w:rPr>
        <w:t>viejų</w:t>
      </w:r>
      <w:r w:rsidR="002B5272">
        <w:rPr>
          <w:rFonts w:asciiTheme="majorHAnsi" w:eastAsia="Times New Roman" w:hAnsiTheme="majorHAnsi" w:cstheme="majorHAnsi"/>
          <w:sz w:val="20"/>
          <w:szCs w:val="20"/>
        </w:rPr>
        <w:t xml:space="preserve"> paslaugų gavėjų gyvenimo kokybės pokyčio pavyzdžiai.</w:t>
      </w:r>
    </w:p>
    <w:p w14:paraId="4563E4A0" w14:textId="77777777" w:rsidR="006A71EE" w:rsidRDefault="006A71EE" w:rsidP="006A71EE">
      <w:pPr>
        <w:spacing w:before="100" w:beforeAutospacing="1" w:after="100" w:afterAutospacing="1"/>
        <w:jc w:val="both"/>
        <w:rPr>
          <w:rFonts w:ascii="Calibri Light" w:hAnsi="Calibri Light" w:cs="Calibri Light"/>
          <w:i/>
          <w:iCs/>
          <w:sz w:val="20"/>
          <w:szCs w:val="20"/>
        </w:rPr>
      </w:pPr>
    </w:p>
    <w:p w14:paraId="1F3BCECE" w14:textId="0B9D0638" w:rsidR="00776AAD" w:rsidRDefault="006A71EE" w:rsidP="00776AAD">
      <w:pPr>
        <w:spacing w:before="100" w:beforeAutospacing="1" w:after="100" w:afterAutospacing="1"/>
        <w:rPr>
          <w:rFonts w:ascii="Calibri Light" w:hAnsi="Calibri Light" w:cs="Calibri Light"/>
          <w:i/>
          <w:iCs/>
          <w:sz w:val="20"/>
          <w:szCs w:val="20"/>
        </w:rPr>
      </w:pPr>
      <w:r w:rsidRPr="006A71EE">
        <w:rPr>
          <w:rFonts w:ascii="Calibri Light" w:hAnsi="Calibri Light" w:cs="Calibri Light"/>
          <w:i/>
          <w:iCs/>
          <w:sz w:val="20"/>
          <w:szCs w:val="20"/>
        </w:rPr>
        <w:lastRenderedPageBreak/>
        <w:t xml:space="preserve">12 pav. </w:t>
      </w:r>
      <w:r w:rsidR="00776AAD">
        <w:rPr>
          <w:noProof/>
          <w14:ligatures w14:val="standardContextual"/>
        </w:rPr>
        <w:drawing>
          <wp:inline distT="0" distB="0" distL="0" distR="0" wp14:anchorId="50EE535F" wp14:editId="6BB26F87">
            <wp:extent cx="6051550" cy="2520950"/>
            <wp:effectExtent l="0" t="0" r="6350" b="12700"/>
            <wp:docPr id="1695379908" name="Diagrama 1">
              <a:extLst xmlns:a="http://schemas.openxmlformats.org/drawingml/2006/main">
                <a:ext uri="{FF2B5EF4-FFF2-40B4-BE49-F238E27FC236}">
                  <a16:creationId xmlns:a16="http://schemas.microsoft.com/office/drawing/2014/main" id="{519212C2-2B63-CFB0-9399-E0A30D1490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5040DF4" w14:textId="53428C62" w:rsidR="00FA5CD4" w:rsidRPr="00776AAD" w:rsidRDefault="00FA5CD4" w:rsidP="00776AAD">
      <w:pPr>
        <w:spacing w:before="100" w:beforeAutospacing="1" w:after="100" w:afterAutospacing="1"/>
        <w:jc w:val="both"/>
        <w:rPr>
          <w:rFonts w:ascii="Calibri Light" w:hAnsi="Calibri Light" w:cs="Calibri Light"/>
          <w:sz w:val="20"/>
          <w:szCs w:val="20"/>
        </w:rPr>
      </w:pPr>
      <w:r w:rsidRPr="00776AAD">
        <w:rPr>
          <w:rStyle w:val="Strong"/>
          <w:rFonts w:ascii="Calibri Light" w:hAnsi="Calibri Light" w:cs="Calibri Light"/>
          <w:b w:val="0"/>
          <w:bCs w:val="0"/>
          <w:sz w:val="20"/>
          <w:szCs w:val="20"/>
        </w:rPr>
        <w:t>2024–2025 m. gyventojo gyvenimo kokybės vertinimo</w:t>
      </w:r>
      <w:r w:rsidR="006A71EE" w:rsidRPr="00776AAD">
        <w:rPr>
          <w:rStyle w:val="Strong"/>
          <w:rFonts w:ascii="Calibri Light" w:hAnsi="Calibri Light" w:cs="Calibri Light"/>
          <w:b w:val="0"/>
          <w:bCs w:val="0"/>
          <w:sz w:val="20"/>
          <w:szCs w:val="20"/>
        </w:rPr>
        <w:t xml:space="preserve"> </w:t>
      </w:r>
      <w:r w:rsidRPr="00776AAD">
        <w:rPr>
          <w:rStyle w:val="Strong"/>
          <w:rFonts w:ascii="Calibri Light" w:hAnsi="Calibri Light" w:cs="Calibri Light"/>
          <w:b w:val="0"/>
          <w:bCs w:val="0"/>
          <w:sz w:val="20"/>
          <w:szCs w:val="20"/>
        </w:rPr>
        <w:t>palyginimas rodo, kad kai kuriose srityse nuomonė pasikeitė.</w:t>
      </w:r>
      <w:r w:rsidRPr="00776AAD">
        <w:rPr>
          <w:rFonts w:ascii="Calibri Light" w:hAnsi="Calibri Light" w:cs="Calibri Light"/>
          <w:b/>
          <w:bCs/>
          <w:sz w:val="20"/>
          <w:szCs w:val="20"/>
        </w:rPr>
        <w:t xml:space="preserve"> </w:t>
      </w:r>
      <w:r w:rsidRPr="00776AAD">
        <w:rPr>
          <w:rFonts w:ascii="Calibri Light" w:hAnsi="Calibri Light" w:cs="Calibri Light"/>
          <w:sz w:val="20"/>
          <w:szCs w:val="20"/>
        </w:rPr>
        <w:t xml:space="preserve">Sveikatos, savirealizacijos srityse 2025 m. atsakymas „sutinku“ sumažėjo nuo 3 iki 2. Gerbūvio vertinimas pagerėjo – „sutinku“ padidėjo nuo 3 iki 4, o „nesutinku“ sumažėjo nuo 2 iki 1. Saugumo srityje taip pat matomas pagerėjimas: „sutinku“ padidėjo nuo 4 iki 5, o „nesutinku“ sumažėjo nuo 4 iki 3. Taigi šio gyventojo vertinimu, 2025 m. labiausiai pagerėjo </w:t>
      </w:r>
      <w:r w:rsidRPr="00776AAD">
        <w:rPr>
          <w:rStyle w:val="Strong"/>
          <w:rFonts w:ascii="Calibri Light" w:hAnsi="Calibri Light" w:cs="Calibri Light"/>
          <w:b w:val="0"/>
          <w:bCs w:val="0"/>
          <w:sz w:val="20"/>
          <w:szCs w:val="20"/>
        </w:rPr>
        <w:t>gerbūvio ir saugumo</w:t>
      </w:r>
      <w:r w:rsidRPr="00776AAD">
        <w:rPr>
          <w:rFonts w:ascii="Calibri Light" w:hAnsi="Calibri Light" w:cs="Calibri Light"/>
          <w:sz w:val="20"/>
          <w:szCs w:val="20"/>
        </w:rPr>
        <w:t xml:space="preserve"> sritys, o </w:t>
      </w:r>
      <w:r w:rsidRPr="00776AAD">
        <w:rPr>
          <w:rStyle w:val="Strong"/>
          <w:rFonts w:ascii="Calibri Light" w:hAnsi="Calibri Light" w:cs="Calibri Light"/>
          <w:b w:val="0"/>
          <w:bCs w:val="0"/>
          <w:sz w:val="20"/>
          <w:szCs w:val="20"/>
        </w:rPr>
        <w:t>sveikatos, socialinių ryšių ir savirealizacijos</w:t>
      </w:r>
      <w:r w:rsidRPr="00776AAD">
        <w:rPr>
          <w:rFonts w:ascii="Calibri Light" w:hAnsi="Calibri Light" w:cs="Calibri Light"/>
          <w:sz w:val="20"/>
          <w:szCs w:val="20"/>
        </w:rPr>
        <w:t xml:space="preserve"> vertinimas šiek tiek sumažėjo. </w:t>
      </w:r>
    </w:p>
    <w:p w14:paraId="1D96C6D9" w14:textId="76045E07" w:rsidR="00FA5CD4" w:rsidRDefault="00697CB3" w:rsidP="00697CB3">
      <w:pPr>
        <w:spacing w:line="276" w:lineRule="auto"/>
        <w:ind w:hanging="2"/>
      </w:pPr>
      <w:r w:rsidRPr="00697CB3">
        <w:rPr>
          <w:rFonts w:ascii="Calibri Light" w:hAnsi="Calibri Light" w:cs="Calibri Light"/>
          <w:i/>
          <w:iCs/>
          <w:sz w:val="20"/>
          <w:szCs w:val="20"/>
        </w:rPr>
        <w:t>13 pav.</w:t>
      </w:r>
      <w:r>
        <w:t xml:space="preserve"> </w:t>
      </w:r>
      <w:r w:rsidR="00FA5CD4">
        <w:t xml:space="preserve">           </w:t>
      </w:r>
      <w:r>
        <w:rPr>
          <w:noProof/>
          <w14:ligatures w14:val="standardContextual"/>
        </w:rPr>
        <w:drawing>
          <wp:inline distT="0" distB="0" distL="0" distR="0" wp14:anchorId="32B1B893" wp14:editId="6CEEC5BC">
            <wp:extent cx="6102350" cy="2254250"/>
            <wp:effectExtent l="0" t="0" r="12700" b="12700"/>
            <wp:docPr id="1801859412" name="Diagrama 1">
              <a:extLst xmlns:a="http://schemas.openxmlformats.org/drawingml/2006/main">
                <a:ext uri="{FF2B5EF4-FFF2-40B4-BE49-F238E27FC236}">
                  <a16:creationId xmlns:a16="http://schemas.microsoft.com/office/drawing/2014/main" id="{3ADF582D-F1AF-42EF-686B-49B6D1C577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FA5CD4">
        <w:t xml:space="preserve">   </w:t>
      </w:r>
    </w:p>
    <w:p w14:paraId="3C57343F" w14:textId="77777777" w:rsidR="00FA5CD4" w:rsidRDefault="00FA5CD4" w:rsidP="00FA5CD4">
      <w:pPr>
        <w:spacing w:line="276" w:lineRule="auto"/>
        <w:ind w:hanging="2"/>
        <w:jc w:val="both"/>
      </w:pPr>
    </w:p>
    <w:p w14:paraId="4CA3E390" w14:textId="6E29175C" w:rsidR="00FA5CD4" w:rsidRPr="00872827" w:rsidRDefault="00FA5CD4" w:rsidP="00C00100">
      <w:pPr>
        <w:ind w:hanging="2"/>
        <w:jc w:val="both"/>
      </w:pPr>
      <w:r w:rsidRPr="00C00100">
        <w:rPr>
          <w:rFonts w:ascii="Calibri Light" w:hAnsi="Calibri Light" w:cs="Calibri Light"/>
          <w:sz w:val="20"/>
          <w:szCs w:val="20"/>
        </w:rPr>
        <w:t>Šio gyventojo gyvenimo kokybės vertinimas 2024–2025 m. laikotarpiu pasikeitė nežymiai. Sveikatos srityje 2025 m. gyventojas nurodė 2 teigiamus ir 1 neigiamą vertinimą, todėl, palyginti su 2024 m., vertinimas pagerėjo. Gerbūvio srityje teigiamas vertinimas sumažėjo nuo 4 iki 3, o neigiamas padidėjo nuo 1 iki 2, todėl šioje srityje gyvenimo kokybė vertinama šiek tiek prasčiau. Saugumo srityje pokyčių nenustatyta – tiek 2024 m., tiek 2025 m. išliko 6 teigiami ir 2 neigiami vertinimai. Socialinių ryšių srityje teigiamų vertinimų sumažėjo nuo 5 iki 4, o atsirado 1 neigiamas vertinimas, todėl vertinimas šiek tiek pablogėjo. Savirealizacijos srityje pokyčių nenustatyta – abiem metais išliko 2 teigiami ir 1 neigiamas vertinimas.</w:t>
      </w:r>
      <w:r w:rsidR="00776AAD">
        <w:rPr>
          <w:rFonts w:ascii="Calibri Light" w:hAnsi="Calibri Light" w:cs="Calibri Light"/>
          <w:sz w:val="20"/>
          <w:szCs w:val="20"/>
        </w:rPr>
        <w:t xml:space="preserve"> 2</w:t>
      </w:r>
      <w:r w:rsidRPr="00C00100">
        <w:rPr>
          <w:rFonts w:ascii="Calibri Light" w:hAnsi="Calibri Light" w:cs="Calibri Light"/>
          <w:sz w:val="20"/>
          <w:szCs w:val="20"/>
        </w:rPr>
        <w:t>025 m. gyventojo gyvenimo kokybė iš esmės išliko stabili. Teigiamas pokytis pastebimas sveikatos srityje, saugumo ir savirealizacijos vertinimai nesikeitė, tačiau šiek tiek pablogėjo gerbūvio ir socialinių ryšių vertinimas</w:t>
      </w:r>
      <w:r w:rsidRPr="00872827">
        <w:t>.</w:t>
      </w:r>
    </w:p>
    <w:p w14:paraId="35400FEE" w14:textId="160A9766" w:rsidR="006100B6" w:rsidRPr="00F8599D" w:rsidRDefault="006100B6" w:rsidP="006100B6">
      <w:pPr>
        <w:spacing w:before="100" w:beforeAutospacing="1" w:after="100" w:afterAutospacing="1"/>
        <w:jc w:val="both"/>
        <w:rPr>
          <w:rFonts w:ascii="Calibri Light" w:eastAsia="Times New Roman" w:hAnsi="Calibri Light" w:cs="Calibri Light"/>
          <w:bCs/>
          <w:sz w:val="20"/>
          <w:szCs w:val="20"/>
        </w:rPr>
      </w:pPr>
      <w:r w:rsidRPr="006100B6">
        <w:rPr>
          <w:rFonts w:ascii="Calibri Light" w:eastAsia="Times New Roman" w:hAnsi="Calibri Light" w:cs="Calibri Light"/>
          <w:b/>
          <w:bCs/>
          <w:sz w:val="20"/>
          <w:szCs w:val="20"/>
        </w:rPr>
        <w:t>Išvada:</w:t>
      </w:r>
      <w:r>
        <w:rPr>
          <w:rFonts w:ascii="Calibri Light" w:eastAsia="Times New Roman" w:hAnsi="Calibri Light" w:cs="Calibri Light"/>
          <w:sz w:val="20"/>
          <w:szCs w:val="20"/>
        </w:rPr>
        <w:t xml:space="preserve"> </w:t>
      </w:r>
      <w:r w:rsidR="00776AAD">
        <w:rPr>
          <w:rFonts w:ascii="Calibri Light" w:eastAsia="Times New Roman" w:hAnsi="Calibri Light" w:cs="Calibri Light"/>
          <w:sz w:val="20"/>
          <w:szCs w:val="20"/>
        </w:rPr>
        <w:t xml:space="preserve">kolektyviniu požiūriu </w:t>
      </w:r>
      <w:r w:rsidRPr="00F8599D">
        <w:rPr>
          <w:rFonts w:ascii="Calibri Light" w:eastAsia="Times New Roman" w:hAnsi="Calibri Light" w:cs="Calibri Light"/>
          <w:bCs/>
          <w:sz w:val="20"/>
          <w:szCs w:val="20"/>
        </w:rPr>
        <w:t xml:space="preserve">aukščiausiai </w:t>
      </w:r>
      <w:r w:rsidR="00776AAD">
        <w:rPr>
          <w:rFonts w:ascii="Calibri Light" w:eastAsia="Times New Roman" w:hAnsi="Calibri Light" w:cs="Calibri Light"/>
          <w:bCs/>
          <w:sz w:val="20"/>
          <w:szCs w:val="20"/>
        </w:rPr>
        <w:t>per du metus</w:t>
      </w:r>
      <w:r w:rsidRPr="00F8599D">
        <w:rPr>
          <w:rFonts w:ascii="Calibri Light" w:eastAsia="Times New Roman" w:hAnsi="Calibri Light" w:cs="Calibri Light"/>
          <w:bCs/>
          <w:sz w:val="20"/>
          <w:szCs w:val="20"/>
        </w:rPr>
        <w:t xml:space="preserve"> buvo vertinami gerbūvio, saugumo ir savirealizacijos aspektai. Didžiausias neigiamas pokytis užfiksuotas saugumo srityje, o mažiausias – savirealizacijos. Nepaisant sumažėjusių rodiklių 2025 m., visų sričių vertinimai išliko gana aukšti ir viršijo</w:t>
      </w:r>
      <w:r w:rsidR="00776AAD">
        <w:rPr>
          <w:rFonts w:ascii="Calibri Light" w:eastAsia="Times New Roman" w:hAnsi="Calibri Light" w:cs="Calibri Light"/>
          <w:bCs/>
          <w:sz w:val="20"/>
          <w:szCs w:val="20"/>
        </w:rPr>
        <w:t xml:space="preserve"> numatytus </w:t>
      </w:r>
      <w:r w:rsidRPr="00F8599D">
        <w:rPr>
          <w:rFonts w:ascii="Calibri Light" w:eastAsia="Times New Roman" w:hAnsi="Calibri Light" w:cs="Calibri Light"/>
          <w:bCs/>
          <w:sz w:val="20"/>
          <w:szCs w:val="20"/>
        </w:rPr>
        <w:t xml:space="preserve"> 80 %.</w:t>
      </w:r>
    </w:p>
    <w:p w14:paraId="6CD71F45" w14:textId="77777777" w:rsidR="006100B6" w:rsidRDefault="006100B6">
      <w:pPr>
        <w:spacing w:after="160" w:line="259" w:lineRule="auto"/>
        <w:rPr>
          <w:rFonts w:asciiTheme="majorHAnsi" w:hAnsiTheme="majorHAnsi" w:cstheme="majorHAnsi"/>
          <w:b/>
          <w:bCs/>
        </w:rPr>
      </w:pPr>
      <w:r>
        <w:rPr>
          <w:rFonts w:asciiTheme="majorHAnsi" w:hAnsiTheme="majorHAnsi" w:cstheme="majorHAnsi"/>
          <w:b/>
          <w:bCs/>
        </w:rPr>
        <w:br w:type="page"/>
      </w:r>
    </w:p>
    <w:p w14:paraId="00D73045" w14:textId="4D638F62" w:rsidR="006100B6" w:rsidRPr="002314FF" w:rsidRDefault="006100B6" w:rsidP="006100B6">
      <w:pPr>
        <w:rPr>
          <w:rFonts w:ascii="Calibri Light" w:hAnsi="Calibri Light" w:cs="Calibri Light"/>
          <w:b/>
          <w:bCs/>
        </w:rPr>
      </w:pPr>
      <w:bookmarkStart w:id="3" w:name="_Hlk238131910"/>
      <w:r w:rsidRPr="002314FF">
        <w:rPr>
          <w:rFonts w:ascii="Calibri Light" w:hAnsi="Calibri Light" w:cs="Calibri Light"/>
          <w:b/>
          <w:bCs/>
        </w:rPr>
        <w:lastRenderedPageBreak/>
        <w:t>REZULTATAI, RODANTYS PASLAUGŲ GAVĖJŲ IR KITŲ SVARBIŲ SUINTERESUOTŲ ŠALIŲ PASITENKINIMĄ, 2025 metai</w:t>
      </w:r>
    </w:p>
    <w:p w14:paraId="5A636D34" w14:textId="77777777" w:rsidR="006100B6" w:rsidRPr="002314FF" w:rsidRDefault="006100B6" w:rsidP="006100B6">
      <w:pPr>
        <w:rPr>
          <w:rFonts w:ascii="Calibri Light" w:hAnsi="Calibri Light" w:cs="Calibri Light"/>
        </w:rPr>
      </w:pPr>
    </w:p>
    <w:p w14:paraId="33614F31" w14:textId="77777777" w:rsidR="006100B6" w:rsidRPr="00FD793C" w:rsidRDefault="006100B6" w:rsidP="006100B6">
      <w:pPr>
        <w:rPr>
          <w:rFonts w:ascii="Calibri Light" w:eastAsia="Times New Roman" w:hAnsi="Calibri Light" w:cs="Calibri Light"/>
          <w:sz w:val="22"/>
          <w:szCs w:val="22"/>
        </w:rPr>
      </w:pPr>
      <w:r w:rsidRPr="002314FF">
        <w:rPr>
          <w:rFonts w:ascii="Calibri Light" w:eastAsia="Times New Roman" w:hAnsi="Calibri Light" w:cs="Calibri Light"/>
          <w:sz w:val="22"/>
          <w:szCs w:val="22"/>
        </w:rPr>
        <w:t>45 KRITERIJUS: Socialinių paslaugų teikėjas matuoja paslaugų gavėjų ir visų suinteresuotų šalių pasitenkinimą remdamasis vidaus ir (arba) išorės vertinimu.</w:t>
      </w:r>
    </w:p>
    <w:p w14:paraId="3727CDF0" w14:textId="77777777" w:rsidR="006100B6" w:rsidRPr="00FD793C" w:rsidRDefault="006100B6" w:rsidP="006100B6">
      <w:pPr>
        <w:rPr>
          <w:rFonts w:ascii="Calibri Light" w:eastAsia="Times New Roman" w:hAnsi="Calibri Light" w:cs="Calibri Light"/>
          <w:sz w:val="22"/>
          <w:szCs w:val="22"/>
        </w:rPr>
      </w:pPr>
    </w:p>
    <w:p w14:paraId="0D144070" w14:textId="77777777" w:rsidR="006100B6" w:rsidRPr="00575D2F" w:rsidRDefault="006100B6" w:rsidP="006100B6">
      <w:pPr>
        <w:rPr>
          <w:rFonts w:ascii="Calibri Light" w:hAnsi="Calibri Light" w:cs="Calibri Light"/>
          <w:i/>
          <w:iCs/>
          <w:sz w:val="20"/>
          <w:szCs w:val="20"/>
        </w:rPr>
      </w:pPr>
      <w:r w:rsidRPr="00575D2F">
        <w:rPr>
          <w:rFonts w:ascii="Calibri Light" w:eastAsia="Times New Roman" w:hAnsi="Calibri Light" w:cs="Calibri Light"/>
          <w:sz w:val="20"/>
          <w:szCs w:val="20"/>
        </w:rPr>
        <w:t xml:space="preserve">Rodiklis: </w:t>
      </w:r>
      <w:r w:rsidRPr="00575D2F">
        <w:rPr>
          <w:rFonts w:ascii="Calibri Light" w:hAnsi="Calibri Light" w:cs="Calibri Light"/>
          <w:i/>
          <w:iCs/>
          <w:sz w:val="20"/>
          <w:szCs w:val="20"/>
        </w:rPr>
        <w:t>Gyventojų ir jų artimųjų  pasitenkinimas teikiamomis paslaugomis ir personalo pasitenkinimas darbu.</w:t>
      </w:r>
    </w:p>
    <w:p w14:paraId="5CF8D0C4" w14:textId="77777777" w:rsidR="006100B6" w:rsidRPr="00575D2F" w:rsidRDefault="006100B6" w:rsidP="006100B6">
      <w:pPr>
        <w:rPr>
          <w:rFonts w:ascii="Calibri Light" w:hAnsi="Calibri Light" w:cs="Calibri Light"/>
          <w:i/>
          <w:iCs/>
          <w:sz w:val="20"/>
          <w:szCs w:val="20"/>
        </w:rPr>
      </w:pPr>
    </w:p>
    <w:p w14:paraId="23050BC9" w14:textId="18689DA5" w:rsidR="006100B6" w:rsidRPr="00575D2F" w:rsidRDefault="006100B6" w:rsidP="00FD793C">
      <w:pPr>
        <w:pStyle w:val="NormalWeb"/>
        <w:spacing w:before="0" w:beforeAutospacing="0" w:after="0" w:afterAutospacing="0"/>
        <w:jc w:val="both"/>
        <w:rPr>
          <w:rFonts w:ascii="Calibri Light" w:hAnsi="Calibri Light" w:cs="Calibri Light"/>
          <w:iCs/>
          <w:sz w:val="20"/>
          <w:szCs w:val="20"/>
        </w:rPr>
      </w:pPr>
      <w:r w:rsidRPr="00575D2F">
        <w:rPr>
          <w:rFonts w:ascii="Calibri Light" w:hAnsi="Calibri Light" w:cs="Calibri Light"/>
          <w:iCs/>
          <w:sz w:val="20"/>
          <w:szCs w:val="20"/>
        </w:rPr>
        <w:t>Rodiklio apskaičiavimo formulė susideda iš trijų dalių: p</w:t>
      </w:r>
      <w:r w:rsidRPr="00575D2F">
        <w:rPr>
          <w:rFonts w:ascii="Calibri Light" w:hAnsi="Calibri Light" w:cs="Calibri Light"/>
          <w:sz w:val="20"/>
          <w:szCs w:val="20"/>
          <w:lang w:eastAsia="en-US"/>
        </w:rPr>
        <w:t>atenkintų teikiamomis paslaugomis gyventojų skaičiaus santykis su bendru gyventojų skaičiumi ir p</w:t>
      </w:r>
      <w:r w:rsidRPr="00575D2F">
        <w:rPr>
          <w:rFonts w:ascii="Calibri Light" w:hAnsi="Calibri Light" w:cs="Calibri Light"/>
          <w:sz w:val="20"/>
          <w:szCs w:val="20"/>
        </w:rPr>
        <w:t>atenkintų teikiamomis paslaugomis artimųjų skaičiaus santykis su bendru apklaustų artimųjų skaičiumi bei  </w:t>
      </w:r>
      <w:r w:rsidRPr="00575D2F">
        <w:rPr>
          <w:rFonts w:ascii="Calibri Light" w:hAnsi="Calibri Light" w:cs="Calibri Light"/>
          <w:iCs/>
          <w:sz w:val="20"/>
          <w:szCs w:val="20"/>
        </w:rPr>
        <w:t>p</w:t>
      </w:r>
      <w:r w:rsidRPr="00575D2F">
        <w:rPr>
          <w:rFonts w:ascii="Calibri Light" w:hAnsi="Calibri Light" w:cs="Calibri Light"/>
          <w:sz w:val="20"/>
          <w:szCs w:val="20"/>
          <w:lang w:eastAsia="en-US"/>
        </w:rPr>
        <w:t>atenkintų darbu darbuotojų skaičiaus santykis su apklausoje dalyvavusių darbuotojų skaičiumi.</w:t>
      </w:r>
      <w:r w:rsidR="00FD793C" w:rsidRPr="00575D2F">
        <w:rPr>
          <w:rFonts w:ascii="Calibri Light" w:hAnsi="Calibri Light" w:cs="Calibri Light"/>
          <w:sz w:val="20"/>
          <w:szCs w:val="20"/>
          <w:lang w:eastAsia="en-US"/>
        </w:rPr>
        <w:t xml:space="preserve"> </w:t>
      </w:r>
      <w:r w:rsidRPr="00575D2F">
        <w:rPr>
          <w:rFonts w:ascii="Calibri Light" w:hAnsi="Calibri Light" w:cs="Calibri Light"/>
          <w:iCs/>
          <w:sz w:val="20"/>
          <w:szCs w:val="20"/>
        </w:rPr>
        <w:t xml:space="preserve">Rezultatai vertinami ir lyginimas atliekami metų pabaigoje.  </w:t>
      </w:r>
    </w:p>
    <w:p w14:paraId="13A1E02F" w14:textId="77777777" w:rsidR="006100B6" w:rsidRPr="00575D2F" w:rsidRDefault="006100B6" w:rsidP="006100B6">
      <w:pPr>
        <w:jc w:val="both"/>
        <w:rPr>
          <w:rFonts w:ascii="Calibri Light" w:eastAsia="Times New Roman" w:hAnsi="Calibri Light" w:cs="Calibri Light"/>
          <w:iCs/>
          <w:sz w:val="20"/>
          <w:szCs w:val="20"/>
        </w:rPr>
      </w:pPr>
    </w:p>
    <w:p w14:paraId="2AA2AD85" w14:textId="2C3C1288" w:rsidR="003361C0" w:rsidRPr="003361C0" w:rsidRDefault="003361C0" w:rsidP="003361C0">
      <w:pPr>
        <w:ind w:hanging="2"/>
        <w:jc w:val="both"/>
        <w:rPr>
          <w:rFonts w:ascii="Calibri Light" w:hAnsi="Calibri Light" w:cs="Calibri Light"/>
          <w:iCs/>
          <w:sz w:val="20"/>
          <w:szCs w:val="20"/>
        </w:rPr>
      </w:pPr>
      <w:r w:rsidRPr="003361C0">
        <w:rPr>
          <w:rFonts w:ascii="Calibri Light" w:hAnsi="Calibri Light" w:cs="Calibri Light"/>
          <w:iCs/>
          <w:sz w:val="20"/>
          <w:szCs w:val="20"/>
        </w:rPr>
        <w:t>2024 m. apklausoje dalyvavo 34 (69,4 %) iš 49 gyventojų, iš kurių 23,5 % klausimyną pildė savarankiškai, o 76,5 % – su pagalba.</w:t>
      </w:r>
      <w:r w:rsidR="00137C20">
        <w:rPr>
          <w:rFonts w:ascii="Calibri Light" w:hAnsi="Calibri Light" w:cs="Calibri Light"/>
          <w:iCs/>
          <w:sz w:val="20"/>
          <w:szCs w:val="20"/>
        </w:rPr>
        <w:t xml:space="preserve"> </w:t>
      </w:r>
      <w:r w:rsidRPr="003361C0">
        <w:rPr>
          <w:rFonts w:ascii="Calibri Light" w:hAnsi="Calibri Light" w:cs="Calibri Light"/>
          <w:iCs/>
          <w:sz w:val="20"/>
          <w:szCs w:val="20"/>
        </w:rPr>
        <w:t xml:space="preserve">2025 m. apklausoje dalyvavo 47 gyventojai, tai sudarė 100 proc. tais metais gyvenusių gyventojų. Apklausos rezultatai parodė, kad 46,8 </w:t>
      </w:r>
      <w:r w:rsidRPr="003361C0">
        <w:rPr>
          <w:rFonts w:ascii="Calibri Light" w:hAnsi="Calibri Light" w:cs="Calibri Light"/>
          <w:iCs/>
          <w:sz w:val="20"/>
          <w:szCs w:val="20"/>
          <w:lang w:val="en-US"/>
        </w:rPr>
        <w:t xml:space="preserve">% </w:t>
      </w:r>
      <w:r w:rsidRPr="003361C0">
        <w:rPr>
          <w:rFonts w:ascii="Calibri Light" w:hAnsi="Calibri Light" w:cs="Calibri Light"/>
          <w:iCs/>
          <w:sz w:val="20"/>
          <w:szCs w:val="20"/>
        </w:rPr>
        <w:t>gyventojų klausimyną užpildė savarankiškai, 44,7 % – padedami darbuotojų, o 8,5 % – padedami artimųjų.</w:t>
      </w:r>
    </w:p>
    <w:p w14:paraId="65F4A3DA" w14:textId="77777777" w:rsidR="00137C20" w:rsidRDefault="00137C20" w:rsidP="00575D2F">
      <w:pPr>
        <w:rPr>
          <w:rFonts w:ascii="Calibri Light" w:eastAsia="Times New Roman" w:hAnsi="Calibri Light" w:cs="Calibri Light"/>
          <w:i/>
          <w:sz w:val="22"/>
          <w:szCs w:val="22"/>
        </w:rPr>
      </w:pPr>
    </w:p>
    <w:p w14:paraId="2D3F54B5" w14:textId="2319FC03" w:rsidR="006100B6" w:rsidRDefault="00575D2F" w:rsidP="00575D2F">
      <w:pPr>
        <w:rPr>
          <w:noProof/>
        </w:rPr>
      </w:pPr>
      <w:r w:rsidRPr="00575D2F">
        <w:rPr>
          <w:rFonts w:ascii="Calibri Light" w:eastAsia="Times New Roman" w:hAnsi="Calibri Light" w:cs="Calibri Light"/>
          <w:i/>
          <w:sz w:val="22"/>
          <w:szCs w:val="22"/>
        </w:rPr>
        <w:t>1</w:t>
      </w:r>
      <w:r w:rsidR="00697CB3">
        <w:rPr>
          <w:rFonts w:ascii="Calibri Light" w:eastAsia="Times New Roman" w:hAnsi="Calibri Light" w:cs="Calibri Light"/>
          <w:i/>
          <w:sz w:val="22"/>
          <w:szCs w:val="22"/>
        </w:rPr>
        <w:t>4</w:t>
      </w:r>
      <w:r w:rsidRPr="00575D2F">
        <w:rPr>
          <w:rFonts w:ascii="Calibri Light" w:eastAsia="Times New Roman" w:hAnsi="Calibri Light" w:cs="Calibri Light"/>
          <w:i/>
          <w:sz w:val="22"/>
          <w:szCs w:val="22"/>
        </w:rPr>
        <w:t xml:space="preserve"> pav.</w:t>
      </w:r>
      <w:r>
        <w:rPr>
          <w:rFonts w:ascii="Calibri Light" w:eastAsia="Times New Roman" w:hAnsi="Calibri Light" w:cs="Calibri Light"/>
          <w:iCs/>
          <w:sz w:val="22"/>
          <w:szCs w:val="22"/>
        </w:rPr>
        <w:t xml:space="preserve"> </w:t>
      </w:r>
    </w:p>
    <w:p w14:paraId="26E8E05D" w14:textId="3EC3A348" w:rsidR="008D5708" w:rsidRDefault="008D5708" w:rsidP="00575D2F">
      <w:pPr>
        <w:rPr>
          <w:rFonts w:ascii="Calibri Light" w:eastAsia="Times New Roman" w:hAnsi="Calibri Light" w:cs="Calibri Light"/>
          <w:bCs/>
          <w:sz w:val="20"/>
          <w:szCs w:val="20"/>
          <w:lang w:val="en-US"/>
        </w:rPr>
      </w:pPr>
      <w:r>
        <w:rPr>
          <w:noProof/>
          <w14:ligatures w14:val="standardContextual"/>
        </w:rPr>
        <w:drawing>
          <wp:inline distT="0" distB="0" distL="0" distR="0" wp14:anchorId="725BE7F5" wp14:editId="12480DCD">
            <wp:extent cx="6153785" cy="3101009"/>
            <wp:effectExtent l="0" t="0" r="18415" b="4445"/>
            <wp:docPr id="1857919696" name="Diagrama 1">
              <a:extLst xmlns:a="http://schemas.openxmlformats.org/drawingml/2006/main">
                <a:ext uri="{FF2B5EF4-FFF2-40B4-BE49-F238E27FC236}">
                  <a16:creationId xmlns:a16="http://schemas.microsoft.com/office/drawing/2014/main" id="{92478524-FFAD-8D6E-ACDC-4D6ACE0D66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930CBDA" w14:textId="547B32D6" w:rsidR="008D5708" w:rsidRPr="008D5708" w:rsidRDefault="008D5708" w:rsidP="001031DB">
      <w:pPr>
        <w:spacing w:before="100" w:beforeAutospacing="1" w:after="100" w:afterAutospacing="1"/>
        <w:ind w:hanging="2"/>
        <w:jc w:val="both"/>
        <w:rPr>
          <w:rFonts w:asciiTheme="majorHAnsi" w:eastAsia="Times New Roman" w:hAnsiTheme="majorHAnsi" w:cstheme="majorHAnsi"/>
          <w:sz w:val="20"/>
          <w:szCs w:val="20"/>
        </w:rPr>
      </w:pPr>
      <w:r w:rsidRPr="008D5708">
        <w:rPr>
          <w:rFonts w:asciiTheme="majorHAnsi" w:eastAsia="Times New Roman" w:hAnsiTheme="majorHAnsi" w:cstheme="majorHAnsi"/>
          <w:sz w:val="20"/>
          <w:szCs w:val="20"/>
        </w:rPr>
        <w:t>Pateiktoje diagramoje palygintas gyventojų pasitenkinimas įvairiomis teikiamomis paslaugomis 2024 ir 2025 metais. 2025 m. daugumos vertinamų sričių rezultatai sumažėjo, o vienintelėje srityje – santykiuose su darbuotojais – pasitenkinimas išliko labai aukštas ir sudarė 100 proc.</w:t>
      </w:r>
      <w:r w:rsidR="001031DB">
        <w:rPr>
          <w:rFonts w:asciiTheme="majorHAnsi" w:eastAsia="Times New Roman" w:hAnsiTheme="majorHAnsi" w:cstheme="majorHAnsi"/>
          <w:sz w:val="20"/>
          <w:szCs w:val="20"/>
        </w:rPr>
        <w:t xml:space="preserve"> </w:t>
      </w:r>
      <w:r w:rsidRPr="008D5708">
        <w:rPr>
          <w:rFonts w:asciiTheme="majorHAnsi" w:eastAsia="Times New Roman" w:hAnsiTheme="majorHAnsi" w:cstheme="majorHAnsi"/>
          <w:sz w:val="20"/>
          <w:szCs w:val="20"/>
        </w:rPr>
        <w:t xml:space="preserve">Didžiausi pokyčiai: </w:t>
      </w:r>
      <w:r w:rsidRPr="002906BE">
        <w:rPr>
          <w:rFonts w:asciiTheme="majorHAnsi" w:eastAsia="Times New Roman" w:hAnsiTheme="majorHAnsi" w:cstheme="majorHAnsi"/>
          <w:sz w:val="20"/>
          <w:szCs w:val="20"/>
        </w:rPr>
        <w:t>maisto racionu</w:t>
      </w:r>
      <w:r w:rsidRPr="008D5708">
        <w:rPr>
          <w:rFonts w:asciiTheme="majorHAnsi" w:eastAsia="Times New Roman" w:hAnsiTheme="majorHAnsi" w:cstheme="majorHAnsi"/>
          <w:sz w:val="20"/>
          <w:szCs w:val="20"/>
        </w:rPr>
        <w:t xml:space="preserve"> patenkintų gyventojų dalis sumažėjo nuo 58 proc. iki 40 proc. (sumažėjo18 proc.). Skalbimo paslaugomis – nuo 96 proc. iki 55 proc. ( sumažėjo 41 proc.). Sveikatos priežiūros paslaugomis ir priežiūros organizavimu – nuo 68 proc. iki 32 proc. (sumažėjo 36 proc.). Užimtumu ir kitų veiklų organizavimu – nuo 79 proc. iki 59 proc. (sumažėjo 20 proc.). Aplinka ir patalpomis – nuo 88 proc. iki 76 proc. (sumažėjo 12 proc.). Vidaus tvarkos taisyklėmis – nuo 90 proc. iki 75 proc. (sumažėjo 15 proc.). Tarpusavio santykiais – nuo 91 proc. iki 59 proc. (sumažėjo 32 proc.). Santykiai su darbuotojais išliko 100 proc., todėl ši sritis išlieka stipriausia. Vienas iš svarbių veiksnių, galėjusių turėti įtakos 2025 m. rezultatams, yra pasikeitusi gyventojų sudėtis ir didesni jų individualūs poreikiai. Įstaigoje apsigyvena daugiau silpnesnės sveikatos</w:t>
      </w:r>
      <w:r w:rsidRPr="008D5708">
        <w:rPr>
          <w:rFonts w:asciiTheme="majorHAnsi" w:eastAsia="Times New Roman" w:hAnsiTheme="majorHAnsi" w:cstheme="majorHAnsi"/>
          <w:b/>
          <w:bCs/>
          <w:sz w:val="20"/>
          <w:szCs w:val="20"/>
        </w:rPr>
        <w:t xml:space="preserve">, </w:t>
      </w:r>
      <w:r w:rsidRPr="008D5708">
        <w:rPr>
          <w:rFonts w:asciiTheme="majorHAnsi" w:eastAsia="Times New Roman" w:hAnsiTheme="majorHAnsi" w:cstheme="majorHAnsi"/>
          <w:sz w:val="20"/>
          <w:szCs w:val="20"/>
        </w:rPr>
        <w:t>mažesnio savarankiškumo, didesnės priežiūros ir pagalbos poreikio turinčių gyventojų. Tokiems gyventojams kasdienės paslaugos ir gyvenimo sąlygos gali būti vertinamos jautriau, nes jų lūkesčiai ir poreikiai yra didesni. Todėl net ir išlaikant panašią paslaugų kokybę, gyventojų pasitenkinimo vertinimai gali būti mažesni, nes jų poreikiai tapo sudėtingesni. Taip pat rezultatams galėjo turėti įtakos naujų gyventojų adaptacija, skirtingi ankstesni gyvenimo įpročiai ir lūkesčiai, sveikatos būklės pokyčiai bei didesnis darbuotojų krūvis, aptarnaujant daugiau pagalbos ir priežiūros reikalingų asmenų.</w:t>
      </w:r>
    </w:p>
    <w:p w14:paraId="2CD03B42" w14:textId="50092936" w:rsidR="008D5708" w:rsidRPr="008D5708" w:rsidRDefault="008D5708" w:rsidP="008D5708">
      <w:pPr>
        <w:ind w:hanging="2"/>
        <w:jc w:val="both"/>
        <w:rPr>
          <w:rFonts w:asciiTheme="majorHAnsi" w:hAnsiTheme="majorHAnsi" w:cstheme="majorHAnsi"/>
          <w:sz w:val="20"/>
          <w:szCs w:val="20"/>
        </w:rPr>
      </w:pPr>
      <w:r w:rsidRPr="008D5708">
        <w:rPr>
          <w:rFonts w:asciiTheme="majorHAnsi" w:eastAsia="Times New Roman" w:hAnsiTheme="majorHAnsi" w:cstheme="majorHAnsi"/>
          <w:sz w:val="20"/>
          <w:szCs w:val="20"/>
        </w:rPr>
        <w:lastRenderedPageBreak/>
        <w:t>Svarbu pažymėti, kad 100 proc. pasitenkinimas santykiais su darbuotojais rodo, jog darbuotojų bendravimas ir požiūris į gyventojus išlieka stipriąja įstaigos puse. Todėl bendras rezultatų mažėjimas nebūtinai reiškia paslaugų kokybės pablogėjimą – jis gali būti susijęs ir su pasikeitusiais gyventojų poreikiais bei jų sudėties pokyčiais</w:t>
      </w:r>
    </w:p>
    <w:p w14:paraId="3FA927C5" w14:textId="7906CB03" w:rsidR="00137C20" w:rsidRPr="002314FF" w:rsidRDefault="00137C20" w:rsidP="00137C20">
      <w:pPr>
        <w:ind w:hanging="2"/>
        <w:jc w:val="both"/>
        <w:rPr>
          <w:rFonts w:ascii="Calibri Light" w:hAnsi="Calibri Light" w:cs="Calibri Light"/>
          <w:sz w:val="20"/>
          <w:szCs w:val="20"/>
        </w:rPr>
      </w:pPr>
      <w:r w:rsidRPr="002314FF">
        <w:rPr>
          <w:rFonts w:ascii="Calibri Light" w:hAnsi="Calibri Light" w:cs="Calibri Light"/>
          <w:sz w:val="20"/>
          <w:szCs w:val="20"/>
        </w:rPr>
        <w:t>Sekančioje (1</w:t>
      </w:r>
      <w:r w:rsidR="008D5708" w:rsidRPr="002314FF">
        <w:rPr>
          <w:rFonts w:ascii="Calibri Light" w:hAnsi="Calibri Light" w:cs="Calibri Light"/>
          <w:sz w:val="20"/>
          <w:szCs w:val="20"/>
        </w:rPr>
        <w:t>5</w:t>
      </w:r>
      <w:r w:rsidRPr="002314FF">
        <w:rPr>
          <w:rFonts w:ascii="Calibri Light" w:hAnsi="Calibri Light" w:cs="Calibri Light"/>
          <w:sz w:val="20"/>
          <w:szCs w:val="20"/>
        </w:rPr>
        <w:t xml:space="preserve"> pav. ) diagramoje matome 8 artimųjų, pildžiusių klausimynus, pasitenkinimo teikiamomis paslaugomis 2024 m. ir 2025 m. palyginimas. </w:t>
      </w:r>
    </w:p>
    <w:p w14:paraId="2EC97159" w14:textId="77777777" w:rsidR="00137C20" w:rsidRPr="002314FF" w:rsidRDefault="00137C20" w:rsidP="00137C20">
      <w:pPr>
        <w:ind w:hanging="2"/>
        <w:jc w:val="both"/>
        <w:rPr>
          <w:rFonts w:ascii="Calibri Light" w:hAnsi="Calibri Light" w:cs="Calibri Light"/>
          <w:i/>
          <w:iCs/>
          <w:sz w:val="20"/>
          <w:szCs w:val="20"/>
        </w:rPr>
      </w:pPr>
    </w:p>
    <w:p w14:paraId="7FE75347" w14:textId="77777777" w:rsidR="002314FF" w:rsidRPr="002314FF" w:rsidRDefault="00137C20" w:rsidP="00137C20">
      <w:pPr>
        <w:ind w:hanging="2"/>
        <w:rPr>
          <w:rFonts w:ascii="Calibri Light" w:hAnsi="Calibri Light" w:cs="Calibri Light"/>
          <w:i/>
          <w:iCs/>
          <w:sz w:val="20"/>
          <w:szCs w:val="20"/>
        </w:rPr>
      </w:pPr>
      <w:r w:rsidRPr="002314FF">
        <w:rPr>
          <w:rFonts w:ascii="Calibri Light" w:hAnsi="Calibri Light" w:cs="Calibri Light"/>
          <w:i/>
          <w:iCs/>
          <w:sz w:val="20"/>
          <w:szCs w:val="20"/>
        </w:rPr>
        <w:t>1</w:t>
      </w:r>
      <w:r w:rsidR="00697CB3" w:rsidRPr="002314FF">
        <w:rPr>
          <w:rFonts w:ascii="Calibri Light" w:hAnsi="Calibri Light" w:cs="Calibri Light"/>
          <w:i/>
          <w:iCs/>
          <w:sz w:val="20"/>
          <w:szCs w:val="20"/>
        </w:rPr>
        <w:t>5</w:t>
      </w:r>
      <w:r w:rsidRPr="002314FF">
        <w:rPr>
          <w:rFonts w:ascii="Calibri Light" w:hAnsi="Calibri Light" w:cs="Calibri Light"/>
          <w:i/>
          <w:iCs/>
          <w:sz w:val="20"/>
          <w:szCs w:val="20"/>
        </w:rPr>
        <w:t xml:space="preserve"> pav.</w:t>
      </w:r>
    </w:p>
    <w:p w14:paraId="580D4626" w14:textId="6872D5EF" w:rsidR="00092132" w:rsidRDefault="002314FF" w:rsidP="00137C20">
      <w:pPr>
        <w:ind w:hanging="2"/>
        <w:rPr>
          <w:noProof/>
          <w:highlight w:val="yellow"/>
        </w:rPr>
      </w:pPr>
      <w:r>
        <w:rPr>
          <w:noProof/>
          <w14:ligatures w14:val="standardContextual"/>
        </w:rPr>
        <w:drawing>
          <wp:inline distT="0" distB="0" distL="0" distR="0" wp14:anchorId="18861781" wp14:editId="4ED3849C">
            <wp:extent cx="6089015" cy="3029578"/>
            <wp:effectExtent l="0" t="0" r="6985" b="0"/>
            <wp:docPr id="580478521" name="Diagrama 1">
              <a:extLst xmlns:a="http://schemas.openxmlformats.org/drawingml/2006/main">
                <a:ext uri="{FF2B5EF4-FFF2-40B4-BE49-F238E27FC236}">
                  <a16:creationId xmlns:a16="http://schemas.microsoft.com/office/drawing/2014/main" id="{92478524-FFAD-8D6E-ACDC-4D6ACE0D66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137C20" w:rsidRPr="002906BE">
        <w:rPr>
          <w:rFonts w:ascii="Calibri Light" w:hAnsi="Calibri Light" w:cs="Calibri Light"/>
          <w:i/>
          <w:iCs/>
          <w:sz w:val="20"/>
          <w:szCs w:val="20"/>
          <w:highlight w:val="yellow"/>
        </w:rPr>
        <w:t xml:space="preserve"> </w:t>
      </w:r>
    </w:p>
    <w:p w14:paraId="0C53B5E6" w14:textId="77777777" w:rsidR="002314FF" w:rsidRPr="002314FF" w:rsidRDefault="002314FF" w:rsidP="00137C20">
      <w:pPr>
        <w:ind w:hanging="2"/>
        <w:rPr>
          <w:rFonts w:ascii="Times New Roman" w:hAnsi="Times New Roman" w:cs="Times New Roman"/>
          <w:b/>
          <w:bCs/>
          <w:sz w:val="20"/>
          <w:szCs w:val="20"/>
          <w:highlight w:val="yellow"/>
        </w:rPr>
      </w:pPr>
    </w:p>
    <w:p w14:paraId="5929703A" w14:textId="2A93ED37" w:rsidR="002314FF" w:rsidRPr="002314FF" w:rsidRDefault="002314FF" w:rsidP="002314FF">
      <w:pPr>
        <w:ind w:hanging="2"/>
        <w:jc w:val="both"/>
        <w:rPr>
          <w:rFonts w:ascii="Calibri Light" w:hAnsi="Calibri Light" w:cs="Calibri Light"/>
          <w:b/>
          <w:bCs/>
          <w:sz w:val="20"/>
          <w:szCs w:val="20"/>
        </w:rPr>
      </w:pPr>
      <w:r>
        <w:rPr>
          <w:rFonts w:ascii="Calibri Light" w:hAnsi="Calibri Light" w:cs="Calibri Light"/>
          <w:sz w:val="20"/>
          <w:szCs w:val="20"/>
        </w:rPr>
        <w:t xml:space="preserve">Lyginant 2024-2025 metų rezultatus ryškių skirtumų nėra. </w:t>
      </w:r>
      <w:r w:rsidRPr="002314FF">
        <w:rPr>
          <w:rFonts w:ascii="Calibri Light" w:hAnsi="Calibri Light" w:cs="Calibri Light"/>
          <w:sz w:val="20"/>
          <w:szCs w:val="20"/>
        </w:rPr>
        <w:t>2025 m. apklausos rezultatai išliko labai aukšti. Penkiose iš aštuonių vertintų sričių rezultatai nepakito. Didžiausias teigiamas pokytis nustatytas vertinant skalbyklos teikiamas paslaugas – pasitenkinimas padidėjo 2 procentiniais punktais ir pasiekė 100 %. Nedidelis sumažėjimas nustatytas vertinant vidaus tvarkos taisykles – nuo 100 % iki 98 %. Didžiausias neigiamas pokytis stebimas sveikatos priežiūros paslaugų ir priežiūros organizavimo srityje – nuo 100 % iki 96 %. Tarpusavio santykiai, santykiai su darbuotojais bei aplinka ir patalpos ir 2024 m., ir 2025 m. buvo įvertinti 100 %. Bendrai rezultatai rodo labai aukštą gyventojų artimųjų pasitenkinimo teikiamomis paslaugomis ir gyvenimo sąlygomis lygį.</w:t>
      </w:r>
      <w:r w:rsidRPr="002314FF">
        <w:rPr>
          <w:rFonts w:ascii="Calibri Light" w:hAnsi="Calibri Light" w:cs="Calibri Light"/>
          <w:b/>
          <w:bCs/>
          <w:sz w:val="20"/>
          <w:szCs w:val="20"/>
        </w:rPr>
        <w:t xml:space="preserve">     </w:t>
      </w:r>
    </w:p>
    <w:p w14:paraId="6B176544" w14:textId="0069F805" w:rsidR="00EF1DC2" w:rsidRDefault="00EF1DC2" w:rsidP="00137C20">
      <w:pPr>
        <w:ind w:hanging="2"/>
        <w:jc w:val="both"/>
        <w:rPr>
          <w:rFonts w:ascii="Calibri Light" w:eastAsia="Times New Roman" w:hAnsi="Calibri Light" w:cs="Calibri Light"/>
          <w:bCs/>
          <w:sz w:val="20"/>
          <w:szCs w:val="20"/>
        </w:rPr>
      </w:pPr>
      <w:r>
        <w:rPr>
          <w:rFonts w:ascii="Calibri Light" w:eastAsia="Times New Roman" w:hAnsi="Calibri Light" w:cs="Calibri Light"/>
          <w:bCs/>
          <w:sz w:val="20"/>
          <w:szCs w:val="20"/>
        </w:rPr>
        <w:t xml:space="preserve">Siekiant visapusiško įstaigoje teikiamų socialinių paslaugų vertinimo buvo apklaustas personalas. Pateiktoje anketoje darbuotojai galėjo savo pasitenkinimą darbu įvertinti balais nuo 1 iki 10, kai 1 atitinka atsakymą „labai blogai“, 10 – „puikiai“. Apklausoje dalyvavo 31 darbuotojas. </w:t>
      </w:r>
    </w:p>
    <w:p w14:paraId="78C78524" w14:textId="5F3D9477" w:rsidR="0091673A" w:rsidRPr="00575D2F" w:rsidRDefault="00EF1DC2" w:rsidP="00EF1DC2">
      <w:pPr>
        <w:spacing w:before="100" w:beforeAutospacing="1" w:after="100" w:afterAutospacing="1"/>
        <w:rPr>
          <w:rFonts w:ascii="Calibri Light" w:eastAsia="Times New Roman" w:hAnsi="Calibri Light" w:cs="Calibri Light"/>
          <w:bCs/>
          <w:sz w:val="20"/>
          <w:szCs w:val="20"/>
        </w:rPr>
      </w:pPr>
      <w:r w:rsidRPr="00EF1DC2">
        <w:rPr>
          <w:rFonts w:ascii="Calibri Light" w:eastAsia="Times New Roman" w:hAnsi="Calibri Light" w:cs="Calibri Light"/>
          <w:bCs/>
          <w:i/>
          <w:iCs/>
          <w:sz w:val="20"/>
          <w:szCs w:val="20"/>
        </w:rPr>
        <w:t>1</w:t>
      </w:r>
      <w:r w:rsidR="00697CB3">
        <w:rPr>
          <w:rFonts w:ascii="Calibri Light" w:eastAsia="Times New Roman" w:hAnsi="Calibri Light" w:cs="Calibri Light"/>
          <w:bCs/>
          <w:i/>
          <w:iCs/>
          <w:sz w:val="20"/>
          <w:szCs w:val="20"/>
        </w:rPr>
        <w:t>6</w:t>
      </w:r>
      <w:r>
        <w:rPr>
          <w:rFonts w:ascii="Calibri Light" w:eastAsia="Times New Roman" w:hAnsi="Calibri Light" w:cs="Calibri Light"/>
          <w:bCs/>
          <w:i/>
          <w:iCs/>
          <w:sz w:val="20"/>
          <w:szCs w:val="20"/>
        </w:rPr>
        <w:t xml:space="preserve"> pav.</w:t>
      </w:r>
      <w:r w:rsidRPr="00EF1DC2">
        <w:rPr>
          <w:rFonts w:ascii="Calibri Light" w:eastAsia="Times New Roman" w:hAnsi="Calibri Light" w:cs="Calibri Light"/>
          <w:bCs/>
          <w:i/>
          <w:iCs/>
          <w:sz w:val="20"/>
          <w:szCs w:val="20"/>
        </w:rPr>
        <w:t xml:space="preserve"> </w:t>
      </w:r>
      <w:r w:rsidR="0091673A">
        <w:rPr>
          <w:noProof/>
          <w14:ligatures w14:val="standardContextual"/>
        </w:rPr>
        <w:drawing>
          <wp:inline distT="0" distB="0" distL="0" distR="0" wp14:anchorId="794EB0E2" wp14:editId="0D1C5012">
            <wp:extent cx="6019800" cy="2073910"/>
            <wp:effectExtent l="0" t="0" r="0" b="2540"/>
            <wp:docPr id="1592906552" name="Diagrama 1">
              <a:extLst xmlns:a="http://schemas.openxmlformats.org/drawingml/2006/main">
                <a:ext uri="{FF2B5EF4-FFF2-40B4-BE49-F238E27FC236}">
                  <a16:creationId xmlns:a16="http://schemas.microsoft.com/office/drawing/2014/main" id="{5F05F8EF-A90C-0999-F687-B99EB4E587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6DCB35D" w14:textId="1FA3E99C" w:rsidR="00EF1DC2" w:rsidRPr="00EF1DC2" w:rsidRDefault="00EF1DC2" w:rsidP="006100B6">
      <w:pPr>
        <w:spacing w:before="100" w:beforeAutospacing="1" w:after="100" w:afterAutospacing="1"/>
        <w:jc w:val="both"/>
        <w:rPr>
          <w:rFonts w:ascii="Calibri Light" w:eastAsia="Times New Roman" w:hAnsi="Calibri Light" w:cs="Calibri Light"/>
          <w:bCs/>
          <w:sz w:val="20"/>
          <w:szCs w:val="20"/>
        </w:rPr>
      </w:pPr>
      <w:r w:rsidRPr="00EF1DC2">
        <w:rPr>
          <w:rFonts w:ascii="Calibri Light" w:eastAsia="Times New Roman" w:hAnsi="Calibri Light" w:cs="Calibri Light"/>
          <w:bCs/>
          <w:sz w:val="20"/>
          <w:szCs w:val="20"/>
        </w:rPr>
        <w:t>Iš apklausos rezultatų matyti</w:t>
      </w:r>
      <w:r>
        <w:rPr>
          <w:rFonts w:ascii="Calibri Light" w:eastAsia="Times New Roman" w:hAnsi="Calibri Light" w:cs="Calibri Light"/>
          <w:bCs/>
          <w:sz w:val="20"/>
          <w:szCs w:val="20"/>
        </w:rPr>
        <w:t>, jog nėra labai ryškaus skirtumo nuo praėjusių metų</w:t>
      </w:r>
      <w:r w:rsidR="00136A2E">
        <w:rPr>
          <w:rFonts w:ascii="Calibri Light" w:eastAsia="Times New Roman" w:hAnsi="Calibri Light" w:cs="Calibri Light"/>
          <w:bCs/>
          <w:sz w:val="20"/>
          <w:szCs w:val="20"/>
        </w:rPr>
        <w:t xml:space="preserve"> personalo pasitenkinimo darbu</w:t>
      </w:r>
      <w:r>
        <w:rPr>
          <w:rFonts w:ascii="Calibri Light" w:eastAsia="Times New Roman" w:hAnsi="Calibri Light" w:cs="Calibri Light"/>
          <w:bCs/>
          <w:sz w:val="20"/>
          <w:szCs w:val="20"/>
        </w:rPr>
        <w:t xml:space="preserve"> vertinimo. </w:t>
      </w:r>
      <w:r w:rsidR="00136A2E">
        <w:rPr>
          <w:rFonts w:ascii="Calibri Light" w:eastAsia="Times New Roman" w:hAnsi="Calibri Light" w:cs="Calibri Light"/>
          <w:bCs/>
          <w:sz w:val="20"/>
          <w:szCs w:val="20"/>
        </w:rPr>
        <w:t xml:space="preserve">2024 m. apklausoje dalyvavo 68 proc. darbuotojų, o 2025 m. dalyvavo 91 proc. darbuotojų. Dėl to iš dalies galima sakyti, kad pasitenkinimas darbu šiais metais yra didesnis. 10 – čia ir 9 – iais  balų pasitenkinimą įvertino net po  29 proc. personalo (2024 m. – 52 proc.), vadinasi labai patenkinti darbu yra 28 proc. 8-7 balais pasitenkinimą įvertino 26 proc. personalo (2024 m. – irgi 26 proc.).   </w:t>
      </w:r>
    </w:p>
    <w:p w14:paraId="6299A9D2" w14:textId="77777777" w:rsidR="00136A2E" w:rsidRPr="00137C20" w:rsidRDefault="006100B6" w:rsidP="006100B6">
      <w:pPr>
        <w:spacing w:before="100" w:beforeAutospacing="1" w:after="100" w:afterAutospacing="1"/>
        <w:jc w:val="both"/>
        <w:rPr>
          <w:rFonts w:ascii="Calibri Light" w:eastAsia="Times New Roman" w:hAnsi="Calibri Light" w:cs="Calibri Light"/>
          <w:bCs/>
          <w:sz w:val="20"/>
          <w:szCs w:val="20"/>
        </w:rPr>
      </w:pPr>
      <w:r w:rsidRPr="00137C20">
        <w:rPr>
          <w:rFonts w:ascii="Calibri Light" w:eastAsia="Times New Roman" w:hAnsi="Calibri Light" w:cs="Calibri Light"/>
          <w:b/>
          <w:sz w:val="20"/>
          <w:szCs w:val="20"/>
        </w:rPr>
        <w:lastRenderedPageBreak/>
        <w:t>Išvad</w:t>
      </w:r>
      <w:r w:rsidR="00136A2E" w:rsidRPr="00137C20">
        <w:rPr>
          <w:rFonts w:ascii="Calibri Light" w:eastAsia="Times New Roman" w:hAnsi="Calibri Light" w:cs="Calibri Light"/>
          <w:b/>
          <w:sz w:val="20"/>
          <w:szCs w:val="20"/>
        </w:rPr>
        <w:t>os</w:t>
      </w:r>
      <w:r w:rsidRPr="00137C20">
        <w:rPr>
          <w:rFonts w:ascii="Calibri Light" w:eastAsia="Times New Roman" w:hAnsi="Calibri Light" w:cs="Calibri Light"/>
          <w:b/>
          <w:sz w:val="20"/>
          <w:szCs w:val="20"/>
        </w:rPr>
        <w:t>:</w:t>
      </w:r>
      <w:r w:rsidRPr="00137C20">
        <w:rPr>
          <w:rFonts w:ascii="Calibri Light" w:eastAsia="Times New Roman" w:hAnsi="Calibri Light" w:cs="Calibri Light"/>
          <w:bCs/>
          <w:sz w:val="20"/>
          <w:szCs w:val="20"/>
        </w:rPr>
        <w:t xml:space="preserve"> </w:t>
      </w:r>
    </w:p>
    <w:p w14:paraId="019733B8" w14:textId="77777777" w:rsidR="008D5708" w:rsidRPr="008D5708" w:rsidRDefault="008D5708" w:rsidP="00137C20">
      <w:pPr>
        <w:pStyle w:val="ListParagraph"/>
        <w:numPr>
          <w:ilvl w:val="0"/>
          <w:numId w:val="10"/>
        </w:numPr>
        <w:spacing w:before="100" w:beforeAutospacing="1" w:after="100" w:afterAutospacing="1"/>
        <w:jc w:val="both"/>
        <w:rPr>
          <w:rFonts w:ascii="Calibri Light" w:eastAsia="Times New Roman" w:hAnsi="Calibri Light" w:cs="Calibri Light"/>
          <w:bCs/>
          <w:sz w:val="20"/>
          <w:szCs w:val="20"/>
          <w:lang w:val="en-US"/>
        </w:rPr>
      </w:pPr>
      <w:r w:rsidRPr="008D5708">
        <w:rPr>
          <w:rFonts w:ascii="Calibri Light" w:eastAsia="Times New Roman" w:hAnsi="Calibri Light" w:cs="Calibri Light"/>
          <w:bCs/>
          <w:sz w:val="20"/>
          <w:szCs w:val="20"/>
        </w:rPr>
        <w:t>Rezultatai rodo, kad 2025 m. dauguma pasitenkinimo rodiklių sumažėjo (labiausiai – skalbimo paslaugomis, sveikatos priežiūra ir tarpusavio santykiais), tačiau santykiai su darbuotojais išliko 100 proc., o bendras mažėjimas greičiausiai susijęs ne su paslaugų kokybės pablogėjimu, o su pasikeitusia gyventojų sudėtimi – daugėjant silpnesnės sveikatos ir didesnio priežiūros poreikio turinčių asmenų, kurių lūkesčiai ir jautrumas vertinant kasdienes paslaugas yra didesni.</w:t>
      </w:r>
    </w:p>
    <w:p w14:paraId="242BE3A0" w14:textId="33E03713" w:rsidR="00137C20" w:rsidRPr="00137C20" w:rsidRDefault="00137C20" w:rsidP="00137C20">
      <w:pPr>
        <w:pStyle w:val="ListParagraph"/>
        <w:numPr>
          <w:ilvl w:val="0"/>
          <w:numId w:val="10"/>
        </w:numPr>
        <w:spacing w:before="100" w:beforeAutospacing="1" w:after="100" w:afterAutospacing="1"/>
        <w:jc w:val="both"/>
        <w:rPr>
          <w:rFonts w:ascii="Calibri Light" w:eastAsia="Times New Roman" w:hAnsi="Calibri Light" w:cs="Calibri Light"/>
          <w:bCs/>
          <w:sz w:val="20"/>
          <w:szCs w:val="20"/>
          <w:lang w:val="en-US"/>
        </w:rPr>
      </w:pPr>
      <w:r>
        <w:rPr>
          <w:rFonts w:ascii="Calibri Light" w:hAnsi="Calibri Light" w:cs="Calibri Light"/>
          <w:sz w:val="20"/>
          <w:szCs w:val="20"/>
        </w:rPr>
        <w:t>A</w:t>
      </w:r>
      <w:r w:rsidRPr="00092132">
        <w:rPr>
          <w:rFonts w:ascii="Calibri Light" w:hAnsi="Calibri Light" w:cs="Calibri Light"/>
          <w:sz w:val="20"/>
          <w:szCs w:val="20"/>
        </w:rPr>
        <w:t>rtimųjų pasitenkinimas teikiamomis paslaugomis išliko aukštas</w:t>
      </w:r>
      <w:r w:rsidR="002314FF">
        <w:rPr>
          <w:rFonts w:ascii="Calibri Light" w:hAnsi="Calibri Light" w:cs="Calibri Light"/>
          <w:sz w:val="20"/>
          <w:szCs w:val="20"/>
        </w:rPr>
        <w:t xml:space="preserve">, </w:t>
      </w:r>
      <w:r w:rsidRPr="00092132">
        <w:rPr>
          <w:rFonts w:ascii="Calibri Light" w:hAnsi="Calibri Light" w:cs="Calibri Light"/>
          <w:sz w:val="20"/>
          <w:szCs w:val="20"/>
        </w:rPr>
        <w:t xml:space="preserve">bendras vertinimas išliko teigiamas. Didžiausias teigiamas pokytis nustatytas santykių su darbuotojais ir tarpusavio santykių srityse, o daugiausia dėmesio tobulinant paslaugų kokybę tikslinga skirti </w:t>
      </w:r>
      <w:r w:rsidR="002314FF">
        <w:rPr>
          <w:rFonts w:ascii="Calibri Light" w:hAnsi="Calibri Light" w:cs="Calibri Light"/>
          <w:sz w:val="20"/>
          <w:szCs w:val="20"/>
        </w:rPr>
        <w:t>sveikatos priežiūros paslaugų gerinimui</w:t>
      </w:r>
      <w:r w:rsidRPr="00092132">
        <w:rPr>
          <w:rFonts w:ascii="Calibri Light" w:hAnsi="Calibri Light" w:cs="Calibri Light"/>
          <w:sz w:val="20"/>
          <w:szCs w:val="20"/>
        </w:rPr>
        <w:t>.</w:t>
      </w:r>
    </w:p>
    <w:p w14:paraId="49C17C2D" w14:textId="629C2A88" w:rsidR="00137C20" w:rsidRPr="00137C20" w:rsidRDefault="00137C20" w:rsidP="00137C20">
      <w:pPr>
        <w:pStyle w:val="ListParagraph"/>
        <w:numPr>
          <w:ilvl w:val="0"/>
          <w:numId w:val="10"/>
        </w:numPr>
        <w:spacing w:before="100" w:beforeAutospacing="1" w:after="100" w:afterAutospacing="1"/>
        <w:jc w:val="both"/>
        <w:rPr>
          <w:rFonts w:ascii="Calibri Light" w:eastAsia="Times New Roman" w:hAnsi="Calibri Light" w:cs="Calibri Light"/>
          <w:bCs/>
          <w:sz w:val="20"/>
          <w:szCs w:val="20"/>
          <w:lang w:val="en-US"/>
        </w:rPr>
      </w:pPr>
      <w:r>
        <w:rPr>
          <w:rFonts w:ascii="Calibri Light" w:eastAsia="Times New Roman" w:hAnsi="Calibri Light" w:cs="Calibri Light"/>
          <w:bCs/>
          <w:sz w:val="20"/>
          <w:szCs w:val="20"/>
        </w:rPr>
        <w:t>Nėra labai ryškaus skirtumo nuo praėjusių metų personalo pasitenkinimo darbu vertinimo.</w:t>
      </w:r>
    </w:p>
    <w:bookmarkEnd w:id="3"/>
    <w:p w14:paraId="491FC15D" w14:textId="77777777" w:rsidR="00AB492D" w:rsidRPr="00ED6E5B" w:rsidRDefault="00AB492D" w:rsidP="00ED6E5B">
      <w:pPr>
        <w:spacing w:before="100" w:beforeAutospacing="1" w:after="100" w:afterAutospacing="1"/>
        <w:jc w:val="both"/>
        <w:rPr>
          <w:rFonts w:ascii="Calibri Light" w:eastAsia="Times New Roman" w:hAnsi="Calibri Light" w:cs="Calibri Light"/>
          <w:bCs/>
          <w:sz w:val="20"/>
          <w:szCs w:val="20"/>
          <w:lang w:val="en-US"/>
        </w:rPr>
      </w:pPr>
    </w:p>
    <w:p w14:paraId="11ECE0D3" w14:textId="77777777" w:rsidR="00813B63" w:rsidRDefault="00813B63" w:rsidP="00813B63">
      <w:pPr>
        <w:rPr>
          <w:rFonts w:ascii="Calibri Light" w:hAnsi="Calibri Light" w:cs="Calibri Light"/>
          <w:i/>
          <w:sz w:val="20"/>
          <w:szCs w:val="20"/>
        </w:rPr>
      </w:pPr>
    </w:p>
    <w:p w14:paraId="4779BE57" w14:textId="77777777" w:rsidR="00813B63" w:rsidRDefault="00813B63" w:rsidP="00813B63">
      <w:pPr>
        <w:rPr>
          <w:rFonts w:ascii="Calibri Light" w:hAnsi="Calibri Light" w:cs="Calibri Light"/>
          <w:i/>
          <w:sz w:val="20"/>
          <w:szCs w:val="20"/>
        </w:rPr>
      </w:pPr>
    </w:p>
    <w:p w14:paraId="2487F895" w14:textId="77777777" w:rsidR="00813B63" w:rsidRDefault="00813B63" w:rsidP="00813B63">
      <w:pPr>
        <w:rPr>
          <w:rFonts w:ascii="Calibri Light" w:hAnsi="Calibri Light" w:cs="Calibri Light"/>
          <w:i/>
          <w:sz w:val="20"/>
          <w:szCs w:val="20"/>
        </w:rPr>
      </w:pPr>
    </w:p>
    <w:p w14:paraId="0F5831F7" w14:textId="77777777" w:rsidR="00813B63" w:rsidRDefault="00813B63" w:rsidP="00813B63">
      <w:pPr>
        <w:rPr>
          <w:rFonts w:ascii="Calibri Light" w:hAnsi="Calibri Light" w:cs="Calibri Light"/>
          <w:i/>
          <w:sz w:val="20"/>
          <w:szCs w:val="20"/>
        </w:rPr>
      </w:pPr>
    </w:p>
    <w:p w14:paraId="45818F4C" w14:textId="77777777" w:rsidR="00813B63" w:rsidRDefault="00813B63" w:rsidP="00813B63">
      <w:pPr>
        <w:rPr>
          <w:rFonts w:ascii="Calibri Light" w:hAnsi="Calibri Light" w:cs="Calibri Light"/>
          <w:i/>
          <w:sz w:val="20"/>
          <w:szCs w:val="20"/>
        </w:rPr>
      </w:pPr>
    </w:p>
    <w:p w14:paraId="166323CA" w14:textId="77777777" w:rsidR="00813B63" w:rsidRDefault="00813B63" w:rsidP="00813B63">
      <w:pPr>
        <w:rPr>
          <w:rFonts w:ascii="Calibri Light" w:hAnsi="Calibri Light" w:cs="Calibri Light"/>
          <w:i/>
          <w:sz w:val="20"/>
          <w:szCs w:val="20"/>
        </w:rPr>
      </w:pPr>
    </w:p>
    <w:p w14:paraId="41CB4B2E" w14:textId="77777777" w:rsidR="00ED6E5B" w:rsidRDefault="00ED6E5B">
      <w:pPr>
        <w:spacing w:after="160" w:line="259" w:lineRule="auto"/>
        <w:rPr>
          <w:rFonts w:asciiTheme="majorHAnsi" w:eastAsia="Times New Roman" w:hAnsiTheme="majorHAnsi" w:cstheme="majorHAnsi"/>
          <w:b/>
          <w:bCs/>
        </w:rPr>
      </w:pPr>
      <w:r>
        <w:rPr>
          <w:rFonts w:asciiTheme="majorHAnsi" w:eastAsia="Times New Roman" w:hAnsiTheme="majorHAnsi" w:cstheme="majorHAnsi"/>
          <w:b/>
          <w:bCs/>
        </w:rPr>
        <w:br w:type="page"/>
      </w:r>
    </w:p>
    <w:p w14:paraId="060D0673" w14:textId="5854A1AD" w:rsidR="00813B63" w:rsidRPr="00F248C2" w:rsidRDefault="00813B63" w:rsidP="00813B63">
      <w:pPr>
        <w:rPr>
          <w:rFonts w:asciiTheme="majorHAnsi" w:hAnsiTheme="majorHAnsi" w:cstheme="majorHAnsi"/>
          <w:b/>
          <w:bCs/>
        </w:rPr>
      </w:pPr>
      <w:r w:rsidRPr="00F248C2">
        <w:rPr>
          <w:rFonts w:asciiTheme="majorHAnsi" w:eastAsia="Times New Roman" w:hAnsiTheme="majorHAnsi" w:cstheme="majorHAnsi"/>
          <w:b/>
          <w:bCs/>
        </w:rPr>
        <w:lastRenderedPageBreak/>
        <w:t>Į</w:t>
      </w:r>
      <w:r w:rsidRPr="00F248C2">
        <w:rPr>
          <w:rFonts w:asciiTheme="majorHAnsi" w:hAnsiTheme="majorHAnsi" w:cstheme="majorHAnsi"/>
          <w:b/>
          <w:bCs/>
        </w:rPr>
        <w:t>VERTIN</w:t>
      </w:r>
      <w:r w:rsidRPr="00F248C2">
        <w:rPr>
          <w:rFonts w:asciiTheme="majorHAnsi" w:eastAsia="Times New Roman" w:hAnsiTheme="majorHAnsi" w:cstheme="majorHAnsi"/>
          <w:b/>
          <w:bCs/>
        </w:rPr>
        <w:t>IMO</w:t>
      </w:r>
      <w:r w:rsidRPr="00F248C2">
        <w:rPr>
          <w:rFonts w:asciiTheme="majorHAnsi" w:hAnsiTheme="majorHAnsi" w:cstheme="majorHAnsi"/>
          <w:b/>
          <w:bCs/>
        </w:rPr>
        <w:t xml:space="preserve"> REZULTATAI: KOKIU MASTU PASLAUGŲ GAVĖJAI, PERSONALAS IR KITOS SVARBIOS SUINTERESUOTOS ŠALYS SUPRANTA VERSLO REZULTATUS?</w:t>
      </w:r>
      <w:r w:rsidR="00FD793C">
        <w:rPr>
          <w:rFonts w:asciiTheme="majorHAnsi" w:hAnsiTheme="majorHAnsi" w:cstheme="majorHAnsi"/>
          <w:b/>
          <w:bCs/>
        </w:rPr>
        <w:t>, 2025 metai</w:t>
      </w:r>
      <w:r w:rsidRPr="00F248C2">
        <w:rPr>
          <w:rFonts w:asciiTheme="majorHAnsi" w:hAnsiTheme="majorHAnsi" w:cstheme="majorHAnsi"/>
          <w:b/>
          <w:bCs/>
        </w:rPr>
        <w:t xml:space="preserve"> </w:t>
      </w:r>
    </w:p>
    <w:p w14:paraId="3CBD18E8" w14:textId="77777777" w:rsidR="00813B63" w:rsidRPr="00F248C2" w:rsidRDefault="00813B63" w:rsidP="00813B63">
      <w:pPr>
        <w:rPr>
          <w:rFonts w:asciiTheme="majorHAnsi" w:hAnsiTheme="majorHAnsi" w:cstheme="majorHAnsi"/>
          <w:b/>
          <w:bCs/>
          <w:sz w:val="20"/>
          <w:szCs w:val="20"/>
        </w:rPr>
      </w:pPr>
    </w:p>
    <w:p w14:paraId="3D715FC9" w14:textId="77777777" w:rsidR="00813B63" w:rsidRPr="000400CA" w:rsidRDefault="00813B63" w:rsidP="00813B63">
      <w:pPr>
        <w:rPr>
          <w:rFonts w:asciiTheme="majorHAnsi" w:eastAsia="Times New Roman" w:hAnsiTheme="majorHAnsi" w:cstheme="majorHAnsi"/>
          <w:sz w:val="22"/>
          <w:szCs w:val="22"/>
        </w:rPr>
      </w:pPr>
      <w:r w:rsidRPr="000400CA">
        <w:rPr>
          <w:rFonts w:asciiTheme="majorHAnsi" w:eastAsia="Times New Roman" w:hAnsiTheme="majorHAnsi" w:cstheme="majorHAnsi"/>
          <w:sz w:val="22"/>
          <w:szCs w:val="22"/>
        </w:rPr>
        <w:t>46 KRITERIJUS: Socialinių paslaugų teikėjas teikia prieinamą, lengvai suprantamą informaciją apie užfiksuotus rezultatus, įskaitant apklausų rezultatus.</w:t>
      </w:r>
    </w:p>
    <w:p w14:paraId="41748440" w14:textId="77777777" w:rsidR="00813B63" w:rsidRPr="00F248C2" w:rsidRDefault="00813B63" w:rsidP="00813B63">
      <w:pPr>
        <w:rPr>
          <w:rFonts w:asciiTheme="majorHAnsi" w:eastAsia="Times New Roman" w:hAnsiTheme="majorHAnsi" w:cstheme="majorHAnsi"/>
          <w:sz w:val="22"/>
          <w:szCs w:val="22"/>
        </w:rPr>
      </w:pPr>
    </w:p>
    <w:p w14:paraId="2E026A1C" w14:textId="4CBCF72A" w:rsidR="00813B63" w:rsidRPr="000400CA" w:rsidRDefault="00813B63" w:rsidP="00813B63">
      <w:pPr>
        <w:rPr>
          <w:rFonts w:asciiTheme="majorHAnsi" w:hAnsiTheme="majorHAnsi" w:cstheme="majorHAnsi"/>
          <w:i/>
          <w:iCs/>
          <w:sz w:val="20"/>
          <w:szCs w:val="20"/>
        </w:rPr>
      </w:pPr>
      <w:r w:rsidRPr="000400CA">
        <w:rPr>
          <w:rFonts w:asciiTheme="majorHAnsi" w:eastAsia="Times New Roman" w:hAnsiTheme="majorHAnsi" w:cstheme="majorHAnsi"/>
          <w:sz w:val="20"/>
          <w:szCs w:val="20"/>
        </w:rPr>
        <w:t xml:space="preserve">Rodiklis: </w:t>
      </w:r>
      <w:r w:rsidRPr="000400CA">
        <w:rPr>
          <w:rFonts w:asciiTheme="majorHAnsi" w:hAnsiTheme="majorHAnsi" w:cstheme="majorHAnsi"/>
          <w:i/>
          <w:iCs/>
          <w:sz w:val="20"/>
          <w:szCs w:val="20"/>
        </w:rPr>
        <w:t xml:space="preserve">Personalo ir </w:t>
      </w:r>
      <w:r w:rsidR="003E188D">
        <w:rPr>
          <w:rFonts w:asciiTheme="majorHAnsi" w:hAnsiTheme="majorHAnsi" w:cstheme="majorHAnsi"/>
          <w:i/>
          <w:iCs/>
          <w:sz w:val="20"/>
          <w:szCs w:val="20"/>
        </w:rPr>
        <w:t xml:space="preserve">kitų </w:t>
      </w:r>
      <w:r w:rsidRPr="000400CA">
        <w:rPr>
          <w:rFonts w:asciiTheme="majorHAnsi" w:hAnsiTheme="majorHAnsi" w:cstheme="majorHAnsi"/>
          <w:i/>
          <w:iCs/>
          <w:sz w:val="20"/>
          <w:szCs w:val="20"/>
        </w:rPr>
        <w:t>suinteresuotų šalių</w:t>
      </w:r>
      <w:r w:rsidR="004E2227">
        <w:rPr>
          <w:rFonts w:asciiTheme="majorHAnsi" w:hAnsiTheme="majorHAnsi" w:cstheme="majorHAnsi"/>
          <w:i/>
          <w:iCs/>
          <w:sz w:val="20"/>
          <w:szCs w:val="20"/>
        </w:rPr>
        <w:t xml:space="preserve"> dalis procentais, supratusių įstaigos veiklos</w:t>
      </w:r>
      <w:r w:rsidRPr="000400CA">
        <w:rPr>
          <w:rFonts w:asciiTheme="majorHAnsi" w:hAnsiTheme="majorHAnsi" w:cstheme="majorHAnsi"/>
          <w:i/>
          <w:iCs/>
          <w:sz w:val="20"/>
          <w:szCs w:val="20"/>
        </w:rPr>
        <w:t xml:space="preserve"> rezultat</w:t>
      </w:r>
      <w:r w:rsidR="004E2227">
        <w:rPr>
          <w:rFonts w:asciiTheme="majorHAnsi" w:hAnsiTheme="majorHAnsi" w:cstheme="majorHAnsi"/>
          <w:i/>
          <w:iCs/>
          <w:sz w:val="20"/>
          <w:szCs w:val="20"/>
        </w:rPr>
        <w:t>us ir laikančių juos prieinamais</w:t>
      </w:r>
      <w:r w:rsidR="003E188D">
        <w:rPr>
          <w:rFonts w:asciiTheme="majorHAnsi" w:hAnsiTheme="majorHAnsi" w:cstheme="majorHAnsi"/>
          <w:i/>
          <w:iCs/>
          <w:sz w:val="20"/>
          <w:szCs w:val="20"/>
        </w:rPr>
        <w:t>.</w:t>
      </w:r>
    </w:p>
    <w:p w14:paraId="2DAD8C5D" w14:textId="77777777" w:rsidR="00813B63" w:rsidRPr="000400CA" w:rsidRDefault="00813B63" w:rsidP="00813B63">
      <w:pPr>
        <w:rPr>
          <w:rFonts w:asciiTheme="majorHAnsi" w:hAnsiTheme="majorHAnsi" w:cstheme="majorHAnsi"/>
          <w:sz w:val="20"/>
          <w:szCs w:val="20"/>
        </w:rPr>
      </w:pPr>
    </w:p>
    <w:p w14:paraId="75EE9D9B" w14:textId="048E3E1D" w:rsidR="00813B63" w:rsidRDefault="00813B63" w:rsidP="004E2227">
      <w:pPr>
        <w:jc w:val="both"/>
        <w:rPr>
          <w:rFonts w:asciiTheme="majorHAnsi" w:hAnsiTheme="majorHAnsi" w:cstheme="majorHAnsi"/>
          <w:iCs/>
          <w:sz w:val="20"/>
          <w:szCs w:val="20"/>
        </w:rPr>
      </w:pPr>
      <w:r w:rsidRPr="000400CA">
        <w:rPr>
          <w:rFonts w:asciiTheme="majorHAnsi" w:hAnsiTheme="majorHAnsi" w:cstheme="majorHAnsi"/>
          <w:sz w:val="20"/>
          <w:szCs w:val="20"/>
        </w:rPr>
        <w:t xml:space="preserve">Rodiklio apskaičiavimo formulė: vertinamas </w:t>
      </w:r>
      <w:r w:rsidRPr="000400CA">
        <w:rPr>
          <w:rFonts w:asciiTheme="majorHAnsi" w:hAnsiTheme="majorHAnsi" w:cstheme="majorHAnsi"/>
          <w:sz w:val="20"/>
          <w:szCs w:val="20"/>
          <w:lang w:eastAsia="en-US"/>
        </w:rPr>
        <w:t xml:space="preserve">personalo ir suinteresuotų šalių atsakymų, ar suprantamai pateikta informacija apie įstaigos veiklos rezultatus pasiskirstymas procentais ir atsakymų ar prieinama informacija apie įstaigos veiklos rezultatus pasiskirstymas procentais. </w:t>
      </w:r>
      <w:r w:rsidRPr="000400CA">
        <w:rPr>
          <w:rFonts w:asciiTheme="majorHAnsi" w:hAnsiTheme="majorHAnsi" w:cstheme="majorHAnsi"/>
          <w:iCs/>
          <w:sz w:val="20"/>
          <w:szCs w:val="20"/>
        </w:rPr>
        <w:t>Rezultatai vertinami vieną kartą metų pabaigoje.</w:t>
      </w:r>
    </w:p>
    <w:p w14:paraId="526485F6" w14:textId="77777777" w:rsidR="004E2227" w:rsidRDefault="004E2227" w:rsidP="00FD793C">
      <w:pPr>
        <w:pStyle w:val="NormalWeb"/>
        <w:spacing w:before="0" w:beforeAutospacing="0" w:after="0" w:afterAutospacing="0"/>
        <w:jc w:val="both"/>
        <w:rPr>
          <w:rFonts w:asciiTheme="majorHAnsi" w:hAnsiTheme="majorHAnsi" w:cstheme="majorHAnsi"/>
          <w:sz w:val="20"/>
          <w:szCs w:val="20"/>
        </w:rPr>
      </w:pPr>
    </w:p>
    <w:p w14:paraId="11B6433F" w14:textId="044B178B" w:rsidR="003E188D" w:rsidRPr="004E2227" w:rsidRDefault="003E188D" w:rsidP="00E65F82">
      <w:pPr>
        <w:rPr>
          <w:rFonts w:asciiTheme="majorHAnsi" w:eastAsiaTheme="majorEastAsia" w:hAnsiTheme="majorHAnsi" w:cstheme="majorHAnsi"/>
          <w:sz w:val="20"/>
          <w:szCs w:val="20"/>
          <w:lang w:eastAsia="zh-CN"/>
        </w:rPr>
      </w:pPr>
      <w:r w:rsidRPr="004E2227">
        <w:rPr>
          <w:rFonts w:asciiTheme="majorHAnsi" w:hAnsiTheme="majorHAnsi" w:cstheme="majorHAnsi"/>
          <w:sz w:val="20"/>
          <w:szCs w:val="20"/>
        </w:rPr>
        <w:t>Kauno kartų namų darbuotojai bei paslaugų gavėjai su visais įstaigos veiklos rezultatais buvo supažindinti susirinkimų metu. Po to rezultatai buvo skelbiami įstaigos internetinėje svetainėje, kur juos galėjo peržiūrėti kitos suinteresuotos šalys ar kiti to pageidaujantys asmenys.</w:t>
      </w:r>
      <w:r w:rsidR="00E65F82">
        <w:rPr>
          <w:rFonts w:asciiTheme="majorHAnsi" w:hAnsiTheme="majorHAnsi" w:cstheme="majorHAnsi"/>
          <w:sz w:val="20"/>
          <w:szCs w:val="20"/>
        </w:rPr>
        <w:t xml:space="preserve"> </w:t>
      </w:r>
    </w:p>
    <w:p w14:paraId="336AE9CA" w14:textId="1865C6C8" w:rsidR="003E188D" w:rsidRPr="004E2227" w:rsidRDefault="003E188D" w:rsidP="00E65F82">
      <w:pPr>
        <w:pStyle w:val="ds-markdown-paragraph"/>
        <w:shd w:val="clear" w:color="auto" w:fill="FFFFFF"/>
        <w:spacing w:before="0" w:beforeAutospacing="0" w:after="0" w:afterAutospacing="0"/>
        <w:jc w:val="both"/>
        <w:rPr>
          <w:rFonts w:asciiTheme="majorHAnsi" w:hAnsiTheme="majorHAnsi" w:cstheme="majorHAnsi"/>
          <w:sz w:val="20"/>
          <w:szCs w:val="20"/>
        </w:rPr>
      </w:pPr>
      <w:r w:rsidRPr="00E65F82">
        <w:rPr>
          <w:rStyle w:val="Strong"/>
          <w:rFonts w:asciiTheme="majorHAnsi" w:hAnsiTheme="majorHAnsi" w:cstheme="majorHAnsi"/>
          <w:b w:val="0"/>
          <w:bCs w:val="0"/>
          <w:sz w:val="20"/>
          <w:szCs w:val="20"/>
        </w:rPr>
        <w:t xml:space="preserve">Siekiant užtikrinti informacijos prieinamumą visiems lankytojams ir suinteresuotoms šalims, pagrindiniuose įstaigos informaciniuose stenduose </w:t>
      </w:r>
      <w:r w:rsidR="00E65F82" w:rsidRPr="00E65F82">
        <w:rPr>
          <w:rStyle w:val="Strong"/>
          <w:rFonts w:asciiTheme="majorHAnsi" w:hAnsiTheme="majorHAnsi" w:cstheme="majorHAnsi"/>
          <w:b w:val="0"/>
          <w:bCs w:val="0"/>
          <w:sz w:val="20"/>
          <w:szCs w:val="20"/>
        </w:rPr>
        <w:t>buvo</w:t>
      </w:r>
      <w:r w:rsidRPr="00E65F82">
        <w:rPr>
          <w:rStyle w:val="Strong"/>
          <w:rFonts w:asciiTheme="majorHAnsi" w:hAnsiTheme="majorHAnsi" w:cstheme="majorHAnsi"/>
          <w:b w:val="0"/>
          <w:bCs w:val="0"/>
          <w:sz w:val="20"/>
          <w:szCs w:val="20"/>
        </w:rPr>
        <w:t xml:space="preserve"> iškabinta aiški informacija su nuorodomis, kaip ir kur rasti įstaigos einamųjų metų veiklos įvertinimo rezultatus.</w:t>
      </w:r>
      <w:r w:rsidRPr="00E65F82">
        <w:rPr>
          <w:rFonts w:asciiTheme="majorHAnsi" w:hAnsiTheme="majorHAnsi" w:cstheme="majorHAnsi"/>
          <w:sz w:val="20"/>
          <w:szCs w:val="20"/>
        </w:rPr>
        <w:t> Ši vizualinė informacija yra nuolat atnaujinama ir lengvai pastebima kiekvienam įstaigą lankančiam asmeniui.</w:t>
      </w:r>
      <w:r w:rsidR="00E65F82">
        <w:rPr>
          <w:rFonts w:asciiTheme="majorHAnsi" w:hAnsiTheme="majorHAnsi" w:cstheme="majorHAnsi"/>
          <w:sz w:val="20"/>
          <w:szCs w:val="20"/>
        </w:rPr>
        <w:t xml:space="preserve"> </w:t>
      </w:r>
      <w:r w:rsidRPr="00E65F82">
        <w:rPr>
          <w:rStyle w:val="Strong"/>
          <w:rFonts w:asciiTheme="majorHAnsi" w:hAnsiTheme="majorHAnsi" w:cstheme="majorHAnsi"/>
          <w:b w:val="0"/>
          <w:bCs w:val="0"/>
          <w:sz w:val="20"/>
          <w:szCs w:val="20"/>
        </w:rPr>
        <w:t>Be to, naujai pasirašiusiems darbo sutartį darbuotojams organizuojamos individualios konsultacijos, kurių metu jie yra išsamiai supažindinami su informacijos apie įstaigos veiklos rezultatus prieiga.</w:t>
      </w:r>
      <w:r w:rsidRPr="00E65F82">
        <w:rPr>
          <w:rFonts w:asciiTheme="majorHAnsi" w:hAnsiTheme="majorHAnsi" w:cstheme="majorHAnsi"/>
          <w:b/>
          <w:bCs/>
          <w:sz w:val="20"/>
          <w:szCs w:val="20"/>
        </w:rPr>
        <w:t> </w:t>
      </w:r>
      <w:r w:rsidRPr="00E65F82">
        <w:rPr>
          <w:rFonts w:asciiTheme="majorHAnsi" w:hAnsiTheme="majorHAnsi" w:cstheme="majorHAnsi"/>
          <w:sz w:val="20"/>
          <w:szCs w:val="20"/>
        </w:rPr>
        <w:t>Konsultacijų metu nauji darbuotojai supažindinami su informacijos skelbimo vietomis (interneto svetaine, informaciniais stendais), supažindinama su</w:t>
      </w:r>
      <w:r w:rsidRPr="004E2227">
        <w:rPr>
          <w:rFonts w:asciiTheme="majorHAnsi" w:hAnsiTheme="majorHAnsi" w:cstheme="majorHAnsi"/>
          <w:sz w:val="20"/>
          <w:szCs w:val="20"/>
        </w:rPr>
        <w:t xml:space="preserve"> ataskaitų struktūra bei paaiškinama, kaip interpretuoti pateikiamus rodiklius. Tai užtikrina, kad kiekvienas darbuotojas, nepriklausomai nuo darbo stažo, turi vienodas galimybes susipažinti su įstaigos veiklos vertinimo rezultatais.</w:t>
      </w:r>
    </w:p>
    <w:p w14:paraId="378196F6" w14:textId="77777777" w:rsidR="00E65F82" w:rsidRDefault="003E188D" w:rsidP="00E65F82">
      <w:pPr>
        <w:shd w:val="clear" w:color="auto" w:fill="FFFFFF"/>
        <w:jc w:val="both"/>
        <w:rPr>
          <w:rFonts w:asciiTheme="majorHAnsi" w:hAnsiTheme="majorHAnsi" w:cstheme="majorHAnsi"/>
          <w:sz w:val="20"/>
          <w:szCs w:val="20"/>
        </w:rPr>
      </w:pPr>
      <w:r w:rsidRPr="00E65F82">
        <w:rPr>
          <w:rFonts w:asciiTheme="majorHAnsi" w:hAnsiTheme="majorHAnsi" w:cstheme="majorHAnsi"/>
          <w:sz w:val="20"/>
          <w:szCs w:val="20"/>
        </w:rPr>
        <w:t xml:space="preserve">Su rezultatais susipažinę asmenys (paslaugų gavėjai, jų artimieji, socialiniai partneriai ir darbuotojai) buvo kviečiami užpildyti  popierinę anketą apie įstaigos rezultatų </w:t>
      </w:r>
      <w:r w:rsidRPr="00F07F3D">
        <w:rPr>
          <w:rFonts w:asciiTheme="majorHAnsi" w:hAnsiTheme="majorHAnsi" w:cstheme="majorHAnsi"/>
          <w:sz w:val="20"/>
          <w:szCs w:val="20"/>
        </w:rPr>
        <w:t>pateikimą.</w:t>
      </w:r>
      <w:r w:rsidR="004E2227" w:rsidRPr="00F07F3D">
        <w:rPr>
          <w:rFonts w:asciiTheme="majorHAnsi" w:hAnsiTheme="majorHAnsi" w:cstheme="majorHAnsi"/>
          <w:sz w:val="20"/>
          <w:szCs w:val="20"/>
        </w:rPr>
        <w:t xml:space="preserve"> </w:t>
      </w:r>
      <w:r w:rsidRPr="00F07F3D">
        <w:rPr>
          <w:rFonts w:asciiTheme="majorHAnsi" w:hAnsiTheme="majorHAnsi" w:cstheme="majorHAnsi"/>
          <w:sz w:val="20"/>
          <w:szCs w:val="20"/>
        </w:rPr>
        <w:t>Apklausos</w:t>
      </w:r>
      <w:r w:rsidRPr="00E65F82">
        <w:rPr>
          <w:rFonts w:asciiTheme="majorHAnsi" w:hAnsiTheme="majorHAnsi" w:cstheme="majorHAnsi"/>
          <w:sz w:val="20"/>
          <w:szCs w:val="20"/>
        </w:rPr>
        <w:t xml:space="preserve"> tikslas – įvertinti, ar įstaigos veiklos rezultatai buvo pateikti tinkamai (ar buvo prieinami) bei ar informacija buvo suprantama įvairioms suinteresuotoms grupėms: paslaugų gavėjams, paslaugų gavėjų artimiesiems, socialiniams partneriams, įstaigos darbuotojams. Iš viso apklausoje dalyvavo 75 respondentai. Didžiausią dalį imties sudarė įstaigos personalas – 33 darbuotojai, kurie sudarė( 44 proc.) visų apklaustųjų. Paslaugų gavėjų grupę atstovavo 18 asmenų( 24 proc.), šeimos narių ar artimųjų grupę – 17 asmenų (23 proc.), o socialinių partnerių grupę – 7 asmenys (9 procentai).</w:t>
      </w:r>
      <w:r w:rsidR="00E65F82">
        <w:rPr>
          <w:rFonts w:asciiTheme="majorHAnsi" w:hAnsiTheme="majorHAnsi" w:cstheme="majorHAnsi"/>
          <w:sz w:val="20"/>
          <w:szCs w:val="20"/>
        </w:rPr>
        <w:t xml:space="preserve"> </w:t>
      </w:r>
    </w:p>
    <w:p w14:paraId="43C96AC8" w14:textId="77777777" w:rsidR="00E65F82" w:rsidRDefault="003E188D" w:rsidP="00E65F82">
      <w:pPr>
        <w:shd w:val="clear" w:color="auto" w:fill="FFFFFF"/>
        <w:jc w:val="both"/>
        <w:rPr>
          <w:rFonts w:asciiTheme="majorHAnsi" w:hAnsiTheme="majorHAnsi" w:cstheme="majorHAnsi"/>
          <w:sz w:val="20"/>
          <w:szCs w:val="20"/>
        </w:rPr>
      </w:pPr>
      <w:r w:rsidRPr="00E65F82">
        <w:rPr>
          <w:rFonts w:asciiTheme="majorHAnsi" w:hAnsiTheme="majorHAnsi" w:cstheme="majorHAnsi"/>
          <w:sz w:val="20"/>
          <w:szCs w:val="20"/>
        </w:rPr>
        <w:t>Apklausos metu respondentų buvo klausiama dviem pagrindiniais klausimais: pirma, ar jiems lengvai pavyko surasti įstaigos veiklos rezultatus, ir antra, ar ši informacija jiems buvo pateikta pakankamai suprantamai.</w:t>
      </w:r>
      <w:r w:rsidR="00E65F82">
        <w:rPr>
          <w:rFonts w:asciiTheme="majorHAnsi" w:hAnsiTheme="majorHAnsi" w:cstheme="majorHAnsi"/>
          <w:sz w:val="20"/>
          <w:szCs w:val="20"/>
        </w:rPr>
        <w:t xml:space="preserve"> </w:t>
      </w:r>
      <w:r w:rsidRPr="00E65F82">
        <w:rPr>
          <w:rFonts w:asciiTheme="majorHAnsi" w:hAnsiTheme="majorHAnsi" w:cstheme="majorHAnsi"/>
          <w:sz w:val="20"/>
          <w:szCs w:val="20"/>
        </w:rPr>
        <w:t>Vertinant prieinamumą, visi be išimties respondentai – 100 procentų kiekvienos grupės atstovų – nurodė, kad įstaigos veiklos rezultatus surado lengvai. Tai rodo, kad informacijos sklaidos priemonės, tokios kaip penki informaciniai stendai su aiškiomis nuorodomis, įstaigos interneto svetainė, vieši susirinkimai bei individualios konsultacijos naujiems darbuotojams, užtikrina patogų ir greitą priėjimą prie rezultatų visoms suinteresuotosioms šalims.</w:t>
      </w:r>
    </w:p>
    <w:p w14:paraId="42B61283" w14:textId="1ECD447E" w:rsidR="003E188D" w:rsidRDefault="003E188D" w:rsidP="00E65F82">
      <w:pPr>
        <w:shd w:val="clear" w:color="auto" w:fill="FFFFFF"/>
        <w:jc w:val="both"/>
        <w:rPr>
          <w:rFonts w:asciiTheme="majorHAnsi" w:hAnsiTheme="majorHAnsi" w:cstheme="majorHAnsi"/>
          <w:sz w:val="20"/>
          <w:szCs w:val="20"/>
        </w:rPr>
      </w:pPr>
      <w:r w:rsidRPr="00E65F82">
        <w:rPr>
          <w:rFonts w:asciiTheme="majorHAnsi" w:hAnsiTheme="majorHAnsi" w:cstheme="majorHAnsi"/>
          <w:sz w:val="20"/>
          <w:szCs w:val="20"/>
        </w:rPr>
        <w:t>Vertinant suprantamumą, rezultatai pasiskirstė taip: personalas informacijos suprantamumą įvertino 100 proc. teigiamai – visi 33 apklausti darbuotojai nurodė, kad informacija jiems buvo suprantama. Šeimos narių ir artimųjų grupėje taip pat visi 17 respondentų (100 proc.) teigiamai atsakė į klausimą apie suprantamumą. Socialinių partnerių grupėje visi 7 respondentai (100 proc.) informaciją įvertino kaip suprantamą. Paslaugų gavėjų grupėje atsakymai pasiskirstė taip kaip ir kitose respondentų grupėse, teigiamai atsakė 18 iš 18 apklaustųjų, o tai sudaro 100 procentus.</w:t>
      </w:r>
    </w:p>
    <w:p w14:paraId="54C96A28" w14:textId="211B91AF" w:rsidR="00E65F82" w:rsidRPr="00E65F82" w:rsidRDefault="00E65F82" w:rsidP="00E65F82">
      <w:pPr>
        <w:shd w:val="clear" w:color="auto" w:fill="FFFFFF"/>
        <w:jc w:val="both"/>
        <w:rPr>
          <w:rFonts w:asciiTheme="majorHAnsi" w:hAnsiTheme="majorHAnsi" w:cstheme="majorHAnsi"/>
          <w:sz w:val="20"/>
          <w:szCs w:val="20"/>
        </w:rPr>
      </w:pPr>
      <w:r>
        <w:rPr>
          <w:rFonts w:asciiTheme="majorHAnsi" w:hAnsiTheme="majorHAnsi" w:cstheme="majorHAnsi"/>
          <w:sz w:val="20"/>
          <w:szCs w:val="20"/>
        </w:rPr>
        <w:t xml:space="preserve">2024 m. 10 proc. respondentų nurodė, kad jiems nesuprantami įstaigos veiklos rezultatai, o 21 proc. nurodė, kad nebuvo lengva rasti pačių rezultatų. Todėl, atliekant vertinimą 2025 m. buvo imtasi priemonių išskirti grupes, kurios dalyvauja kaip respondentai ir užfiksuoti, kuriai grupei rezultatai yra sunkiau prieinami ir/ar sunkiau suprantami.  Kita naudota priemonė – stipri rezultatų sklaida suinteresuotoms šalims, naudota ir lengvai suprantama kalba, visi prieinami informacijos kanalai. Tai davė aukščiausią rezultatą.  </w:t>
      </w:r>
    </w:p>
    <w:p w14:paraId="637EC772" w14:textId="77777777" w:rsidR="003E188D" w:rsidRDefault="003E188D" w:rsidP="00FD793C">
      <w:pPr>
        <w:jc w:val="both"/>
        <w:rPr>
          <w:rFonts w:ascii="Calibri Light" w:hAnsi="Calibri Light" w:cs="Calibri Light"/>
          <w:b/>
          <w:bCs/>
          <w:sz w:val="20"/>
          <w:szCs w:val="20"/>
        </w:rPr>
      </w:pPr>
    </w:p>
    <w:p w14:paraId="3B1F27EA" w14:textId="7392D83E" w:rsidR="00332371" w:rsidRPr="000400CA" w:rsidRDefault="00332371" w:rsidP="00FD793C">
      <w:pPr>
        <w:jc w:val="both"/>
        <w:rPr>
          <w:rFonts w:ascii="Calibri Light" w:hAnsi="Calibri Light" w:cs="Calibri Light"/>
          <w:b/>
          <w:bCs/>
          <w:sz w:val="20"/>
          <w:szCs w:val="20"/>
        </w:rPr>
      </w:pPr>
      <w:r w:rsidRPr="000400CA">
        <w:rPr>
          <w:rFonts w:ascii="Calibri Light" w:hAnsi="Calibri Light" w:cs="Calibri Light"/>
          <w:b/>
          <w:bCs/>
          <w:sz w:val="20"/>
          <w:szCs w:val="20"/>
        </w:rPr>
        <w:t xml:space="preserve">Išvados: </w:t>
      </w:r>
    </w:p>
    <w:p w14:paraId="1739FCF6" w14:textId="15FBDD27" w:rsidR="00332371" w:rsidRPr="000400CA" w:rsidRDefault="00332371" w:rsidP="00FD793C">
      <w:pPr>
        <w:pStyle w:val="ListParagraph"/>
        <w:numPr>
          <w:ilvl w:val="0"/>
          <w:numId w:val="8"/>
        </w:numPr>
        <w:jc w:val="both"/>
        <w:rPr>
          <w:sz w:val="20"/>
          <w:szCs w:val="20"/>
        </w:rPr>
      </w:pPr>
      <w:r w:rsidRPr="000400CA">
        <w:rPr>
          <w:rFonts w:ascii="Calibri Light" w:hAnsi="Calibri Light" w:cs="Calibri Light"/>
          <w:sz w:val="20"/>
          <w:szCs w:val="20"/>
        </w:rPr>
        <w:t xml:space="preserve">Įstaigos veiklos rezultatų pateikimo prieinamumas yra </w:t>
      </w:r>
      <w:r w:rsidR="00E65F82">
        <w:rPr>
          <w:rFonts w:ascii="Calibri Light" w:hAnsi="Calibri Light" w:cs="Calibri Light"/>
          <w:sz w:val="20"/>
          <w:szCs w:val="20"/>
        </w:rPr>
        <w:t>puikus</w:t>
      </w:r>
      <w:r w:rsidRPr="000400CA">
        <w:rPr>
          <w:rFonts w:ascii="Calibri Light" w:hAnsi="Calibri Light" w:cs="Calibri Light"/>
          <w:sz w:val="20"/>
          <w:szCs w:val="20"/>
        </w:rPr>
        <w:t xml:space="preserve">, kadangi visos tirtos grupės pasiekė 100 procentų teigiamų įvertinimų. </w:t>
      </w:r>
    </w:p>
    <w:p w14:paraId="01C99B48" w14:textId="7AD7F793" w:rsidR="00332371" w:rsidRPr="00E21492" w:rsidRDefault="00332371" w:rsidP="00FD793C">
      <w:pPr>
        <w:pStyle w:val="ListParagraph"/>
        <w:numPr>
          <w:ilvl w:val="0"/>
          <w:numId w:val="8"/>
        </w:numPr>
        <w:spacing w:after="160" w:line="259" w:lineRule="auto"/>
        <w:jc w:val="both"/>
        <w:rPr>
          <w:rFonts w:asciiTheme="majorHAnsi" w:hAnsiTheme="majorHAnsi" w:cstheme="majorHAnsi"/>
          <w:b/>
          <w:bCs/>
        </w:rPr>
      </w:pPr>
      <w:r w:rsidRPr="00E21492">
        <w:rPr>
          <w:rFonts w:ascii="Calibri Light" w:hAnsi="Calibri Light" w:cs="Calibri Light"/>
          <w:sz w:val="20"/>
          <w:szCs w:val="20"/>
        </w:rPr>
        <w:t>Įstaigos veiklos rezultatų suprantamumo vertinimas taip pat yra aukštas – 100 procentų. Visos grupės viršija 80 procentų siektiną lygį, o tai rodo, kad įstaigos pasirinktos informacijos teikimo priemonės yra veiksmingos ir efektyviai atitinka įvairių suinteresuotųjų grupių poreikius.</w:t>
      </w:r>
      <w:bookmarkStart w:id="4" w:name="_Hlk192588255"/>
      <w:r w:rsidRPr="00E21492">
        <w:rPr>
          <w:rFonts w:asciiTheme="majorHAnsi" w:hAnsiTheme="majorHAnsi" w:cstheme="majorHAnsi"/>
          <w:b/>
          <w:bCs/>
        </w:rPr>
        <w:br w:type="page"/>
      </w:r>
    </w:p>
    <w:p w14:paraId="403DCE04" w14:textId="070A58B3" w:rsidR="00813B63" w:rsidRPr="00F248C2" w:rsidRDefault="00813B63" w:rsidP="00813B63">
      <w:pPr>
        <w:spacing w:after="100" w:afterAutospacing="1"/>
        <w:rPr>
          <w:rFonts w:asciiTheme="majorHAnsi" w:hAnsiTheme="majorHAnsi" w:cstheme="majorHAnsi"/>
          <w:b/>
          <w:bCs/>
        </w:rPr>
      </w:pPr>
      <w:bookmarkStart w:id="5" w:name="_Hlk237348213"/>
      <w:r w:rsidRPr="00F248C2">
        <w:rPr>
          <w:rFonts w:asciiTheme="majorHAnsi" w:hAnsiTheme="majorHAnsi" w:cstheme="majorHAnsi"/>
          <w:b/>
          <w:bCs/>
        </w:rPr>
        <w:lastRenderedPageBreak/>
        <w:t>VEIKLOS EFEKTYVUMO, PASLAUGŲ TEIKIMO PALYGINIMO REZULTATAI</w:t>
      </w:r>
      <w:r w:rsidR="007E35A9">
        <w:rPr>
          <w:rFonts w:asciiTheme="majorHAnsi" w:hAnsiTheme="majorHAnsi" w:cstheme="majorHAnsi"/>
          <w:b/>
          <w:bCs/>
        </w:rPr>
        <w:t>, 2025 metai</w:t>
      </w:r>
    </w:p>
    <w:p w14:paraId="1E15409A" w14:textId="77777777" w:rsidR="00813B63" w:rsidRPr="00037EE0" w:rsidRDefault="00813B63" w:rsidP="00813B63">
      <w:pPr>
        <w:spacing w:after="100" w:afterAutospacing="1"/>
        <w:rPr>
          <w:rFonts w:asciiTheme="majorHAnsi" w:eastAsia="Times New Roman" w:hAnsiTheme="majorHAnsi" w:cstheme="majorHAnsi"/>
          <w:color w:val="000000"/>
          <w:sz w:val="22"/>
          <w:szCs w:val="22"/>
        </w:rPr>
      </w:pPr>
      <w:r w:rsidRPr="00037EE0">
        <w:rPr>
          <w:rFonts w:asciiTheme="majorHAnsi" w:eastAsia="Times New Roman" w:hAnsiTheme="majorHAnsi" w:cstheme="majorHAnsi"/>
          <w:color w:val="000000"/>
          <w:sz w:val="22"/>
          <w:szCs w:val="22"/>
        </w:rPr>
        <w:t>50 KRITERIJUS: Socialinių paslaugų teikėjas imasi gerinimo iniciatyvų lygindamas požiūrių efektyvumą, paslaugų teikimo rezultatus, veiklą ir paslaugų gavėjų gautus rezultatus.</w:t>
      </w:r>
    </w:p>
    <w:bookmarkEnd w:id="4"/>
    <w:p w14:paraId="58E1939B" w14:textId="363DFE2F" w:rsidR="00037EE0" w:rsidRPr="007E35A9" w:rsidRDefault="00037EE0" w:rsidP="00037EE0">
      <w:pPr>
        <w:spacing w:after="280"/>
        <w:rPr>
          <w:rFonts w:asciiTheme="majorHAnsi" w:eastAsia="Liberation Serif" w:hAnsiTheme="majorHAnsi" w:cstheme="majorHAnsi"/>
          <w:sz w:val="20"/>
          <w:szCs w:val="20"/>
        </w:rPr>
      </w:pPr>
      <w:r w:rsidRPr="007E35A9">
        <w:rPr>
          <w:rFonts w:asciiTheme="majorHAnsi" w:hAnsiTheme="majorHAnsi" w:cstheme="majorHAnsi"/>
          <w:color w:val="000000"/>
          <w:sz w:val="20"/>
          <w:szCs w:val="20"/>
        </w:rPr>
        <w:t xml:space="preserve">Rodiklis: </w:t>
      </w:r>
      <w:r w:rsidRPr="007E35A9">
        <w:rPr>
          <w:rFonts w:asciiTheme="majorHAnsi" w:hAnsiTheme="majorHAnsi" w:cstheme="majorHAnsi"/>
          <w:i/>
          <w:iCs/>
          <w:color w:val="000000"/>
          <w:sz w:val="20"/>
          <w:szCs w:val="20"/>
        </w:rPr>
        <w:t xml:space="preserve">Kauno kartų namų paslaugų gavėjų </w:t>
      </w:r>
      <w:r w:rsidR="007E35A9" w:rsidRPr="007E35A9">
        <w:rPr>
          <w:rFonts w:asciiTheme="majorHAnsi" w:hAnsiTheme="majorHAnsi" w:cstheme="majorHAnsi"/>
          <w:i/>
          <w:iCs/>
          <w:color w:val="000000"/>
          <w:sz w:val="20"/>
          <w:szCs w:val="20"/>
        </w:rPr>
        <w:t xml:space="preserve">saugios ir </w:t>
      </w:r>
      <w:r w:rsidRPr="007E35A9">
        <w:rPr>
          <w:rFonts w:asciiTheme="majorHAnsi" w:hAnsiTheme="majorHAnsi" w:cstheme="majorHAnsi"/>
          <w:i/>
          <w:iCs/>
          <w:color w:val="000000"/>
          <w:sz w:val="20"/>
          <w:szCs w:val="20"/>
        </w:rPr>
        <w:t>įgalinančios aplinkos palyginimas su kitomis socialinių paslaugų įstaigomis.</w:t>
      </w:r>
    </w:p>
    <w:p w14:paraId="60E88CD4" w14:textId="77777777" w:rsidR="00037EE0" w:rsidRPr="007E35A9" w:rsidRDefault="00037EE0" w:rsidP="00037EE0">
      <w:pPr>
        <w:spacing w:after="280"/>
        <w:jc w:val="both"/>
        <w:rPr>
          <w:rFonts w:asciiTheme="majorHAnsi" w:eastAsia="Times New Roman" w:hAnsiTheme="majorHAnsi" w:cstheme="majorHAnsi"/>
          <w:sz w:val="20"/>
          <w:szCs w:val="20"/>
        </w:rPr>
      </w:pPr>
      <w:r w:rsidRPr="007E35A9">
        <w:rPr>
          <w:rFonts w:asciiTheme="majorHAnsi" w:hAnsiTheme="majorHAnsi" w:cstheme="majorHAnsi"/>
          <w:color w:val="000000"/>
          <w:sz w:val="20"/>
          <w:szCs w:val="20"/>
        </w:rPr>
        <w:t>Įgalinimo rodiklio palyginimas atliekamas pagal internetinėse svetainėse pateikiamus EQUASS rezultatus ir apsilankant kitose įstaigose 2025 metais. Rezultatai vertinami vieną kartą metų pabaigoje.</w:t>
      </w:r>
    </w:p>
    <w:p w14:paraId="546F93F4" w14:textId="2E6758B8" w:rsidR="00037EE0" w:rsidRPr="007E35A9" w:rsidRDefault="000400CA" w:rsidP="00037EE0">
      <w:pPr>
        <w:jc w:val="both"/>
        <w:rPr>
          <w:rFonts w:asciiTheme="majorHAnsi" w:hAnsiTheme="majorHAnsi" w:cstheme="majorHAnsi"/>
          <w:i/>
          <w:iCs/>
          <w:color w:val="000000"/>
          <w:sz w:val="20"/>
          <w:szCs w:val="20"/>
        </w:rPr>
      </w:pPr>
      <w:r w:rsidRPr="007E35A9">
        <w:rPr>
          <w:rFonts w:asciiTheme="majorHAnsi" w:hAnsiTheme="majorHAnsi" w:cstheme="majorHAnsi"/>
          <w:i/>
          <w:iCs/>
          <w:color w:val="000000"/>
          <w:sz w:val="20"/>
          <w:szCs w:val="20"/>
        </w:rPr>
        <w:t>1</w:t>
      </w:r>
      <w:r w:rsidR="00697CB3">
        <w:rPr>
          <w:rFonts w:asciiTheme="majorHAnsi" w:hAnsiTheme="majorHAnsi" w:cstheme="majorHAnsi"/>
          <w:i/>
          <w:iCs/>
          <w:color w:val="000000"/>
          <w:sz w:val="20"/>
          <w:szCs w:val="20"/>
        </w:rPr>
        <w:t>7</w:t>
      </w:r>
      <w:r w:rsidR="00037EE0" w:rsidRPr="007E35A9">
        <w:rPr>
          <w:rFonts w:asciiTheme="majorHAnsi" w:hAnsiTheme="majorHAnsi" w:cstheme="majorHAnsi"/>
          <w:i/>
          <w:iCs/>
          <w:color w:val="000000"/>
          <w:sz w:val="20"/>
          <w:szCs w:val="20"/>
        </w:rPr>
        <w:t xml:space="preserve"> pav.</w:t>
      </w:r>
    </w:p>
    <w:tbl>
      <w:tblPr>
        <w:tblW w:w="9628" w:type="dxa"/>
        <w:tblInd w:w="5" w:type="dxa"/>
        <w:tblLayout w:type="fixed"/>
        <w:tblLook w:val="0400" w:firstRow="0" w:lastRow="0" w:firstColumn="0" w:lastColumn="0" w:noHBand="0" w:noVBand="1"/>
      </w:tblPr>
      <w:tblGrid>
        <w:gridCol w:w="557"/>
        <w:gridCol w:w="1560"/>
        <w:gridCol w:w="1417"/>
        <w:gridCol w:w="2410"/>
        <w:gridCol w:w="3684"/>
      </w:tblGrid>
      <w:tr w:rsidR="007E35A9" w:rsidRPr="007E35A9" w14:paraId="4C99BFDA" w14:textId="77777777" w:rsidTr="003669A7">
        <w:tc>
          <w:tcPr>
            <w:tcW w:w="557" w:type="dxa"/>
            <w:tcBorders>
              <w:top w:val="single" w:sz="4" w:space="0" w:color="000000"/>
              <w:left w:val="single" w:sz="4" w:space="0" w:color="000000"/>
              <w:bottom w:val="single" w:sz="4" w:space="0" w:color="000000"/>
              <w:right w:val="single" w:sz="4" w:space="0" w:color="000000"/>
            </w:tcBorders>
            <w:vAlign w:val="center"/>
          </w:tcPr>
          <w:p w14:paraId="5C2B1B56" w14:textId="77777777" w:rsidR="007E35A9" w:rsidRPr="007E35A9" w:rsidRDefault="007E35A9" w:rsidP="003669A7">
            <w:pPr>
              <w:widowControl w:val="0"/>
              <w:jc w:val="center"/>
              <w:rPr>
                <w:rFonts w:asciiTheme="majorHAnsi" w:hAnsiTheme="majorHAnsi" w:cstheme="majorHAnsi"/>
                <w:b/>
                <w:bCs/>
                <w:sz w:val="20"/>
                <w:szCs w:val="20"/>
              </w:rPr>
            </w:pPr>
            <w:r w:rsidRPr="007E35A9">
              <w:rPr>
                <w:rFonts w:asciiTheme="majorHAnsi" w:hAnsiTheme="majorHAnsi" w:cstheme="majorHAnsi"/>
                <w:b/>
                <w:bCs/>
                <w:sz w:val="20"/>
                <w:szCs w:val="20"/>
              </w:rPr>
              <w:t>Eil.</w:t>
            </w:r>
          </w:p>
          <w:p w14:paraId="7CC48D34" w14:textId="77777777" w:rsidR="007E35A9" w:rsidRPr="007E35A9" w:rsidRDefault="007E35A9" w:rsidP="003669A7">
            <w:pPr>
              <w:widowControl w:val="0"/>
              <w:jc w:val="center"/>
              <w:rPr>
                <w:rFonts w:asciiTheme="majorHAnsi" w:hAnsiTheme="majorHAnsi" w:cstheme="majorHAnsi"/>
                <w:b/>
                <w:bCs/>
                <w:sz w:val="20"/>
                <w:szCs w:val="20"/>
              </w:rPr>
            </w:pPr>
            <w:r w:rsidRPr="007E35A9">
              <w:rPr>
                <w:rFonts w:asciiTheme="majorHAnsi" w:hAnsiTheme="majorHAnsi" w:cstheme="majorHAnsi"/>
                <w:b/>
                <w:bCs/>
                <w:sz w:val="20"/>
                <w:szCs w:val="20"/>
              </w:rPr>
              <w:t>nr.</w:t>
            </w:r>
          </w:p>
        </w:tc>
        <w:tc>
          <w:tcPr>
            <w:tcW w:w="1560" w:type="dxa"/>
            <w:tcBorders>
              <w:top w:val="single" w:sz="4" w:space="0" w:color="000000"/>
              <w:left w:val="single" w:sz="4" w:space="0" w:color="000000"/>
              <w:bottom w:val="single" w:sz="4" w:space="0" w:color="000000"/>
              <w:right w:val="single" w:sz="4" w:space="0" w:color="000000"/>
            </w:tcBorders>
            <w:vAlign w:val="center"/>
          </w:tcPr>
          <w:p w14:paraId="1B69F15D" w14:textId="77777777" w:rsidR="007E35A9" w:rsidRPr="007E35A9" w:rsidRDefault="007E35A9" w:rsidP="003669A7">
            <w:pPr>
              <w:widowControl w:val="0"/>
              <w:tabs>
                <w:tab w:val="center" w:pos="4986"/>
                <w:tab w:val="right" w:pos="9972"/>
              </w:tabs>
              <w:jc w:val="center"/>
              <w:rPr>
                <w:rFonts w:asciiTheme="majorHAnsi" w:hAnsiTheme="majorHAnsi" w:cstheme="majorHAnsi"/>
                <w:b/>
                <w:bCs/>
                <w:sz w:val="20"/>
                <w:szCs w:val="20"/>
              </w:rPr>
            </w:pPr>
            <w:r w:rsidRPr="007E35A9">
              <w:rPr>
                <w:rFonts w:asciiTheme="majorHAnsi" w:hAnsiTheme="majorHAnsi" w:cstheme="majorHAnsi"/>
                <w:b/>
                <w:bCs/>
                <w:sz w:val="20"/>
                <w:szCs w:val="20"/>
              </w:rPr>
              <w:t>Lyginimosi sritys (veiklos, metodai, efektyvumo rezultatai ir kt.)</w:t>
            </w:r>
          </w:p>
        </w:tc>
        <w:tc>
          <w:tcPr>
            <w:tcW w:w="1417" w:type="dxa"/>
            <w:tcBorders>
              <w:top w:val="single" w:sz="4" w:space="0" w:color="000000"/>
              <w:left w:val="single" w:sz="4" w:space="0" w:color="000000"/>
              <w:bottom w:val="single" w:sz="4" w:space="0" w:color="000000"/>
              <w:right w:val="single" w:sz="4" w:space="0" w:color="000000"/>
            </w:tcBorders>
            <w:vAlign w:val="center"/>
          </w:tcPr>
          <w:p w14:paraId="4A5D3ECC" w14:textId="77777777" w:rsidR="007E35A9" w:rsidRPr="007E35A9" w:rsidRDefault="007E35A9" w:rsidP="003669A7">
            <w:pPr>
              <w:widowControl w:val="0"/>
              <w:jc w:val="center"/>
              <w:rPr>
                <w:rFonts w:asciiTheme="majorHAnsi" w:hAnsiTheme="majorHAnsi" w:cstheme="majorHAnsi"/>
                <w:b/>
                <w:bCs/>
                <w:sz w:val="20"/>
                <w:szCs w:val="20"/>
              </w:rPr>
            </w:pPr>
            <w:r w:rsidRPr="007E35A9">
              <w:rPr>
                <w:rFonts w:asciiTheme="majorHAnsi" w:hAnsiTheme="majorHAnsi" w:cstheme="majorHAnsi"/>
                <w:b/>
                <w:bCs/>
                <w:sz w:val="20"/>
                <w:szCs w:val="20"/>
              </w:rPr>
              <w:t>Mūsų įstaiga  Kauno Kartų namai</w:t>
            </w:r>
          </w:p>
        </w:tc>
        <w:tc>
          <w:tcPr>
            <w:tcW w:w="2410" w:type="dxa"/>
            <w:tcBorders>
              <w:top w:val="single" w:sz="4" w:space="0" w:color="000000"/>
              <w:left w:val="single" w:sz="4" w:space="0" w:color="000000"/>
              <w:bottom w:val="single" w:sz="4" w:space="0" w:color="000000"/>
              <w:right w:val="single" w:sz="4" w:space="0" w:color="000000"/>
            </w:tcBorders>
            <w:vAlign w:val="center"/>
          </w:tcPr>
          <w:p w14:paraId="763EF2EB" w14:textId="77777777" w:rsidR="007E35A9" w:rsidRPr="007E35A9" w:rsidRDefault="007E35A9" w:rsidP="003669A7">
            <w:pPr>
              <w:widowControl w:val="0"/>
              <w:jc w:val="center"/>
              <w:rPr>
                <w:rFonts w:asciiTheme="majorHAnsi" w:hAnsiTheme="majorHAnsi" w:cstheme="majorHAnsi"/>
                <w:b/>
                <w:bCs/>
                <w:sz w:val="20"/>
                <w:szCs w:val="20"/>
              </w:rPr>
            </w:pPr>
            <w:r w:rsidRPr="007E35A9">
              <w:rPr>
                <w:rFonts w:asciiTheme="majorHAnsi" w:hAnsiTheme="majorHAnsi" w:cstheme="majorHAnsi"/>
                <w:b/>
                <w:bCs/>
                <w:sz w:val="20"/>
                <w:szCs w:val="20"/>
              </w:rPr>
              <w:t>Kita organizacija</w:t>
            </w:r>
          </w:p>
        </w:tc>
        <w:tc>
          <w:tcPr>
            <w:tcW w:w="3684" w:type="dxa"/>
            <w:tcBorders>
              <w:top w:val="single" w:sz="4" w:space="0" w:color="000000"/>
              <w:left w:val="single" w:sz="4" w:space="0" w:color="000000"/>
              <w:bottom w:val="single" w:sz="4" w:space="0" w:color="000000"/>
              <w:right w:val="single" w:sz="4" w:space="0" w:color="000000"/>
            </w:tcBorders>
            <w:vAlign w:val="center"/>
          </w:tcPr>
          <w:p w14:paraId="67FA2744" w14:textId="77777777" w:rsidR="007E35A9" w:rsidRPr="007E35A9" w:rsidRDefault="007E35A9" w:rsidP="003669A7">
            <w:pPr>
              <w:widowControl w:val="0"/>
              <w:tabs>
                <w:tab w:val="center" w:pos="4986"/>
                <w:tab w:val="right" w:pos="9972"/>
              </w:tabs>
              <w:jc w:val="center"/>
              <w:rPr>
                <w:rFonts w:asciiTheme="majorHAnsi" w:hAnsiTheme="majorHAnsi" w:cstheme="majorHAnsi"/>
                <w:b/>
                <w:bCs/>
                <w:sz w:val="20"/>
                <w:szCs w:val="20"/>
              </w:rPr>
            </w:pPr>
            <w:r w:rsidRPr="007E35A9">
              <w:rPr>
                <w:rFonts w:asciiTheme="majorHAnsi" w:hAnsiTheme="majorHAnsi" w:cstheme="majorHAnsi"/>
                <w:b/>
                <w:bCs/>
                <w:sz w:val="20"/>
                <w:szCs w:val="20"/>
              </w:rPr>
              <w:t>Gerinimo rezultatai arba įgyvendintos gerinimo veiklos, data, rezultatai, pastabos</w:t>
            </w:r>
          </w:p>
          <w:p w14:paraId="02C14C53" w14:textId="77777777" w:rsidR="007E35A9" w:rsidRPr="007E35A9" w:rsidRDefault="007E35A9" w:rsidP="003669A7">
            <w:pPr>
              <w:widowControl w:val="0"/>
              <w:jc w:val="center"/>
              <w:rPr>
                <w:rFonts w:asciiTheme="majorHAnsi" w:hAnsiTheme="majorHAnsi" w:cstheme="majorHAnsi"/>
                <w:b/>
                <w:bCs/>
                <w:sz w:val="20"/>
                <w:szCs w:val="20"/>
              </w:rPr>
            </w:pPr>
          </w:p>
        </w:tc>
      </w:tr>
      <w:tr w:rsidR="007E35A9" w:rsidRPr="007E35A9" w14:paraId="5151F595" w14:textId="77777777" w:rsidTr="003669A7">
        <w:tc>
          <w:tcPr>
            <w:tcW w:w="557" w:type="dxa"/>
            <w:tcBorders>
              <w:top w:val="single" w:sz="4" w:space="0" w:color="000000"/>
              <w:left w:val="single" w:sz="4" w:space="0" w:color="000000"/>
              <w:bottom w:val="single" w:sz="4" w:space="0" w:color="000000"/>
              <w:right w:val="single" w:sz="4" w:space="0" w:color="000000"/>
            </w:tcBorders>
          </w:tcPr>
          <w:p w14:paraId="4161F4C6" w14:textId="77777777" w:rsidR="007E35A9" w:rsidRPr="007E35A9" w:rsidRDefault="007E35A9" w:rsidP="003669A7">
            <w:pPr>
              <w:widowControl w:val="0"/>
              <w:rPr>
                <w:rFonts w:asciiTheme="majorHAnsi" w:hAnsiTheme="majorHAnsi" w:cstheme="majorHAnsi"/>
                <w:sz w:val="20"/>
                <w:szCs w:val="20"/>
              </w:rPr>
            </w:pPr>
            <w:r w:rsidRPr="007E35A9">
              <w:rPr>
                <w:rFonts w:asciiTheme="majorHAnsi" w:hAnsiTheme="majorHAnsi" w:cstheme="majorHAnsi"/>
                <w:sz w:val="20"/>
                <w:szCs w:val="20"/>
              </w:rPr>
              <w:t>1.</w:t>
            </w:r>
          </w:p>
        </w:tc>
        <w:tc>
          <w:tcPr>
            <w:tcW w:w="1560" w:type="dxa"/>
            <w:tcBorders>
              <w:top w:val="single" w:sz="4" w:space="0" w:color="000000"/>
              <w:left w:val="single" w:sz="4" w:space="0" w:color="000000"/>
              <w:bottom w:val="single" w:sz="4" w:space="0" w:color="000000"/>
              <w:right w:val="single" w:sz="4" w:space="0" w:color="000000"/>
            </w:tcBorders>
          </w:tcPr>
          <w:p w14:paraId="65F833F5" w14:textId="77777777" w:rsidR="007E35A9" w:rsidRPr="007E35A9" w:rsidRDefault="007E35A9" w:rsidP="003669A7">
            <w:pPr>
              <w:widowControl w:val="0"/>
              <w:tabs>
                <w:tab w:val="center" w:pos="4986"/>
                <w:tab w:val="right" w:pos="9972"/>
              </w:tabs>
              <w:rPr>
                <w:rFonts w:asciiTheme="majorHAnsi" w:hAnsiTheme="majorHAnsi" w:cstheme="majorHAnsi"/>
                <w:sz w:val="20"/>
                <w:szCs w:val="20"/>
              </w:rPr>
            </w:pPr>
            <w:r w:rsidRPr="007E35A9">
              <w:rPr>
                <w:rFonts w:asciiTheme="majorHAnsi" w:hAnsiTheme="majorHAnsi" w:cstheme="majorHAnsi"/>
                <w:sz w:val="20"/>
                <w:szCs w:val="20"/>
              </w:rPr>
              <w:t>Įgalinančios aplinkos kūrimas paslaugų gavėjams.</w:t>
            </w:r>
          </w:p>
        </w:tc>
        <w:tc>
          <w:tcPr>
            <w:tcW w:w="1417" w:type="dxa"/>
            <w:tcBorders>
              <w:top w:val="single" w:sz="4" w:space="0" w:color="000000"/>
              <w:left w:val="single" w:sz="4" w:space="0" w:color="000000"/>
              <w:bottom w:val="single" w:sz="4" w:space="0" w:color="000000"/>
              <w:right w:val="single" w:sz="4" w:space="0" w:color="000000"/>
            </w:tcBorders>
          </w:tcPr>
          <w:p w14:paraId="7DEE2AA5" w14:textId="77777777" w:rsidR="007E35A9" w:rsidRPr="007E35A9" w:rsidRDefault="007E35A9" w:rsidP="003669A7">
            <w:pPr>
              <w:widowControl w:val="0"/>
              <w:tabs>
                <w:tab w:val="center" w:pos="4986"/>
                <w:tab w:val="right" w:pos="9972"/>
              </w:tabs>
              <w:rPr>
                <w:rFonts w:asciiTheme="majorHAnsi" w:hAnsiTheme="majorHAnsi" w:cstheme="majorHAnsi"/>
                <w:sz w:val="20"/>
                <w:szCs w:val="20"/>
              </w:rPr>
            </w:pPr>
            <w:r w:rsidRPr="007E35A9">
              <w:rPr>
                <w:rFonts w:asciiTheme="majorHAnsi" w:hAnsiTheme="majorHAnsi" w:cstheme="majorHAnsi"/>
                <w:sz w:val="20"/>
                <w:szCs w:val="20"/>
              </w:rPr>
              <w:t>Įstaigos gyventojų naudojamose erdvėse buvo naudojami standartiniai sieniniai kalendoriai.</w:t>
            </w:r>
          </w:p>
        </w:tc>
        <w:tc>
          <w:tcPr>
            <w:tcW w:w="2410" w:type="dxa"/>
            <w:tcBorders>
              <w:top w:val="single" w:sz="4" w:space="0" w:color="000000"/>
              <w:left w:val="single" w:sz="4" w:space="0" w:color="000000"/>
              <w:bottom w:val="single" w:sz="4" w:space="0" w:color="000000"/>
              <w:right w:val="single" w:sz="4" w:space="0" w:color="000000"/>
            </w:tcBorders>
          </w:tcPr>
          <w:p w14:paraId="34E70AAE" w14:textId="77777777" w:rsidR="007E35A9" w:rsidRPr="007E35A9" w:rsidRDefault="007E35A9" w:rsidP="003669A7">
            <w:pPr>
              <w:widowControl w:val="0"/>
              <w:rPr>
                <w:rFonts w:asciiTheme="majorHAnsi" w:hAnsiTheme="majorHAnsi" w:cstheme="majorHAnsi"/>
                <w:sz w:val="20"/>
                <w:szCs w:val="20"/>
              </w:rPr>
            </w:pPr>
            <w:r w:rsidRPr="007E35A9">
              <w:rPr>
                <w:rFonts w:asciiTheme="majorHAnsi" w:hAnsiTheme="majorHAnsi" w:cstheme="majorHAnsi"/>
                <w:sz w:val="20"/>
                <w:szCs w:val="20"/>
              </w:rPr>
              <w:t>2025 m. rugpjūčio 20 d. lankėmės Anykščių socialinės globos namuose, kur dėmesį patraukė įstaigoje naudojamas kalendorius, skirtas padėti globos namų gyventojams geriau orientuotis laike ir kasdienėje veikloje. Buvo pristatytas šios priemonės veiksmingumas ir teigiamas poveikis gyventojų savarankiškumui bei orientacijai.</w:t>
            </w:r>
          </w:p>
        </w:tc>
        <w:tc>
          <w:tcPr>
            <w:tcW w:w="3684" w:type="dxa"/>
            <w:tcBorders>
              <w:top w:val="single" w:sz="4" w:space="0" w:color="000000"/>
              <w:left w:val="single" w:sz="4" w:space="0" w:color="000000"/>
              <w:bottom w:val="single" w:sz="4" w:space="0" w:color="000000"/>
              <w:right w:val="single" w:sz="4" w:space="0" w:color="000000"/>
            </w:tcBorders>
          </w:tcPr>
          <w:p w14:paraId="1E91901A" w14:textId="77777777" w:rsidR="007E35A9" w:rsidRPr="007E35A9" w:rsidRDefault="007E35A9" w:rsidP="003669A7">
            <w:pPr>
              <w:widowControl w:val="0"/>
              <w:ind w:right="567"/>
              <w:rPr>
                <w:rFonts w:asciiTheme="majorHAnsi" w:hAnsiTheme="majorHAnsi" w:cstheme="majorHAnsi"/>
                <w:sz w:val="20"/>
                <w:szCs w:val="20"/>
              </w:rPr>
            </w:pPr>
            <w:r w:rsidRPr="007E35A9">
              <w:rPr>
                <w:rFonts w:asciiTheme="majorHAnsi" w:hAnsiTheme="majorHAnsi" w:cstheme="majorHAnsi"/>
                <w:sz w:val="20"/>
                <w:szCs w:val="20"/>
              </w:rPr>
              <w:t>2025 m. lapkričio mėnesį įsigijome du medinius – orientacinius kalendorius padedančius vyresnio amžiaus asmenims orientuotis laike, palaikyti pažintinius gebėjimus ir emocinę gerovę. Gyventojų reakcijos parodė, kad šios priemonės įsigijimas pasiteisino. Pastebėta, jog reguliarus kalendoriaus atnaujinimas ugdo gyventojų savarankiškumą, suteikia dienai struktūrą bei mažina dezorientacijos ir nerimo riziką asmenims, turintiems atminties sutrikimų ar sergantiems demencija.</w:t>
            </w:r>
          </w:p>
        </w:tc>
      </w:tr>
      <w:tr w:rsidR="007E35A9" w:rsidRPr="007E35A9" w14:paraId="7D616164" w14:textId="77777777" w:rsidTr="003669A7">
        <w:tc>
          <w:tcPr>
            <w:tcW w:w="557" w:type="dxa"/>
            <w:tcBorders>
              <w:top w:val="single" w:sz="4" w:space="0" w:color="000000"/>
              <w:left w:val="single" w:sz="4" w:space="0" w:color="000000"/>
              <w:bottom w:val="single" w:sz="4" w:space="0" w:color="000000"/>
              <w:right w:val="single" w:sz="4" w:space="0" w:color="000000"/>
            </w:tcBorders>
          </w:tcPr>
          <w:p w14:paraId="5047418D" w14:textId="77777777" w:rsidR="007E35A9" w:rsidRPr="007E35A9" w:rsidRDefault="007E35A9" w:rsidP="003669A7">
            <w:pPr>
              <w:widowControl w:val="0"/>
              <w:rPr>
                <w:rFonts w:asciiTheme="majorHAnsi" w:hAnsiTheme="majorHAnsi" w:cstheme="majorHAnsi"/>
                <w:sz w:val="20"/>
                <w:szCs w:val="20"/>
              </w:rPr>
            </w:pPr>
            <w:r w:rsidRPr="007E35A9">
              <w:rPr>
                <w:rFonts w:asciiTheme="majorHAnsi" w:hAnsiTheme="majorHAnsi" w:cstheme="majorHAnsi"/>
                <w:sz w:val="20"/>
                <w:szCs w:val="20"/>
              </w:rPr>
              <w:t>2.</w:t>
            </w:r>
          </w:p>
        </w:tc>
        <w:tc>
          <w:tcPr>
            <w:tcW w:w="1560" w:type="dxa"/>
            <w:tcBorders>
              <w:top w:val="single" w:sz="4" w:space="0" w:color="000000"/>
              <w:left w:val="single" w:sz="4" w:space="0" w:color="000000"/>
              <w:bottom w:val="single" w:sz="4" w:space="0" w:color="000000"/>
              <w:right w:val="single" w:sz="4" w:space="0" w:color="000000"/>
            </w:tcBorders>
          </w:tcPr>
          <w:p w14:paraId="58AA91B1" w14:textId="77777777" w:rsidR="007E35A9" w:rsidRPr="007E35A9" w:rsidRDefault="007E35A9" w:rsidP="003669A7">
            <w:pPr>
              <w:widowControl w:val="0"/>
              <w:tabs>
                <w:tab w:val="center" w:pos="4986"/>
                <w:tab w:val="right" w:pos="9972"/>
              </w:tabs>
              <w:rPr>
                <w:rFonts w:asciiTheme="majorHAnsi" w:hAnsiTheme="majorHAnsi" w:cstheme="majorHAnsi"/>
                <w:sz w:val="20"/>
                <w:szCs w:val="20"/>
              </w:rPr>
            </w:pPr>
            <w:r w:rsidRPr="007E35A9">
              <w:rPr>
                <w:rFonts w:asciiTheme="majorHAnsi" w:hAnsiTheme="majorHAnsi" w:cstheme="majorHAnsi"/>
                <w:sz w:val="20"/>
                <w:szCs w:val="20"/>
              </w:rPr>
              <w:t>Saugios aplinkos kūrimas paslaugų gavėjams.</w:t>
            </w:r>
          </w:p>
        </w:tc>
        <w:tc>
          <w:tcPr>
            <w:tcW w:w="1417" w:type="dxa"/>
            <w:tcBorders>
              <w:top w:val="single" w:sz="4" w:space="0" w:color="000000"/>
              <w:left w:val="single" w:sz="4" w:space="0" w:color="000000"/>
              <w:bottom w:val="single" w:sz="4" w:space="0" w:color="000000"/>
              <w:right w:val="single" w:sz="4" w:space="0" w:color="000000"/>
            </w:tcBorders>
          </w:tcPr>
          <w:p w14:paraId="22A41A7B" w14:textId="77777777" w:rsidR="007E35A9" w:rsidRPr="007E35A9" w:rsidRDefault="007E35A9" w:rsidP="003669A7">
            <w:pPr>
              <w:widowControl w:val="0"/>
              <w:tabs>
                <w:tab w:val="center" w:pos="4986"/>
                <w:tab w:val="right" w:pos="9972"/>
              </w:tabs>
              <w:rPr>
                <w:rFonts w:asciiTheme="majorHAnsi" w:hAnsiTheme="majorHAnsi" w:cstheme="majorHAnsi"/>
                <w:sz w:val="20"/>
                <w:szCs w:val="20"/>
              </w:rPr>
            </w:pPr>
            <w:r w:rsidRPr="007E35A9">
              <w:rPr>
                <w:rFonts w:asciiTheme="majorHAnsi" w:hAnsiTheme="majorHAnsi" w:cstheme="majorHAnsi"/>
                <w:sz w:val="20"/>
                <w:szCs w:val="20"/>
              </w:rPr>
              <w:t>Įstaiga turėjo 2 neštuvus, skirtus gulinčių ar sunkiai judančių ligonių pernešimui evakuacijos atveju.</w:t>
            </w:r>
          </w:p>
        </w:tc>
        <w:tc>
          <w:tcPr>
            <w:tcW w:w="2410" w:type="dxa"/>
            <w:tcBorders>
              <w:top w:val="single" w:sz="4" w:space="0" w:color="000000"/>
              <w:left w:val="single" w:sz="4" w:space="0" w:color="000000"/>
              <w:bottom w:val="single" w:sz="4" w:space="0" w:color="000000"/>
              <w:right w:val="single" w:sz="4" w:space="0" w:color="000000"/>
            </w:tcBorders>
          </w:tcPr>
          <w:p w14:paraId="0C9898BC" w14:textId="77777777" w:rsidR="007E35A9" w:rsidRPr="007E35A9" w:rsidRDefault="007E35A9" w:rsidP="003669A7">
            <w:pPr>
              <w:widowControl w:val="0"/>
              <w:rPr>
                <w:rFonts w:asciiTheme="majorHAnsi" w:hAnsiTheme="majorHAnsi" w:cstheme="majorHAnsi"/>
                <w:sz w:val="20"/>
                <w:szCs w:val="20"/>
              </w:rPr>
            </w:pPr>
            <w:r w:rsidRPr="007E35A9">
              <w:rPr>
                <w:rFonts w:asciiTheme="majorHAnsi" w:hAnsiTheme="majorHAnsi" w:cstheme="majorHAnsi"/>
                <w:sz w:val="20"/>
                <w:szCs w:val="20"/>
              </w:rPr>
              <w:t xml:space="preserve">2025 m. birželio 12 d. lankėmės Socialinės globos centre „Vija“. Vizito metu atkreiptas dėmesys į evakuacinius čiužinius, kurie įvertinti kaip naudingos priemonės gerinant paslaugų kokybę ir gyventojų saugumą. </w:t>
            </w:r>
          </w:p>
        </w:tc>
        <w:tc>
          <w:tcPr>
            <w:tcW w:w="3684" w:type="dxa"/>
            <w:tcBorders>
              <w:top w:val="single" w:sz="4" w:space="0" w:color="000000"/>
              <w:left w:val="single" w:sz="4" w:space="0" w:color="000000"/>
              <w:bottom w:val="single" w:sz="4" w:space="0" w:color="000000"/>
              <w:right w:val="single" w:sz="4" w:space="0" w:color="000000"/>
            </w:tcBorders>
          </w:tcPr>
          <w:p w14:paraId="552812AD" w14:textId="77777777" w:rsidR="007E35A9" w:rsidRPr="007E35A9" w:rsidRDefault="007E35A9" w:rsidP="003669A7">
            <w:pPr>
              <w:widowControl w:val="0"/>
              <w:ind w:right="567"/>
              <w:rPr>
                <w:rFonts w:asciiTheme="majorHAnsi" w:hAnsiTheme="majorHAnsi" w:cstheme="majorHAnsi"/>
                <w:sz w:val="20"/>
                <w:szCs w:val="20"/>
              </w:rPr>
            </w:pPr>
            <w:r w:rsidRPr="007E35A9">
              <w:rPr>
                <w:rFonts w:asciiTheme="majorHAnsi" w:hAnsiTheme="majorHAnsi" w:cstheme="majorHAnsi"/>
                <w:sz w:val="20"/>
                <w:szCs w:val="20"/>
              </w:rPr>
              <w:t xml:space="preserve">Į 2026 m. metinį pirkimų planą buvo įtrauktas įsigijimas 20 vnt. evakuacinių paklodžių, įvardinamų kaip svarbi įstaigos civilinės saugos ir gyventojų saugumo užtikrinimo priemonė. Jos skirtos saugiai ir operatyviai evakuoti riboto judumo, nevaikštančius ar dėl sveikatos būklės savarankiškai judėti negalinčius asmenis ekstremalių situacijų metu, leidžia užtikrinti greitą pagalbą evakuacijos metu, sumažina sužalojimų riziką ir gali padėti išsaugoti žmonių gyvybes. </w:t>
            </w:r>
          </w:p>
        </w:tc>
      </w:tr>
    </w:tbl>
    <w:p w14:paraId="23004AB7" w14:textId="77777777" w:rsidR="00037EE0" w:rsidRPr="00037EE0" w:rsidRDefault="00037EE0" w:rsidP="00037EE0">
      <w:pPr>
        <w:rPr>
          <w:rFonts w:asciiTheme="majorHAnsi" w:hAnsiTheme="majorHAnsi" w:cstheme="majorHAnsi"/>
          <w:sz w:val="22"/>
          <w:szCs w:val="22"/>
        </w:rPr>
      </w:pPr>
    </w:p>
    <w:p w14:paraId="316AF165" w14:textId="77777777" w:rsidR="00813B63" w:rsidRPr="00037EE0" w:rsidRDefault="00813B63" w:rsidP="00813B63">
      <w:pPr>
        <w:rPr>
          <w:rFonts w:asciiTheme="majorHAnsi" w:hAnsiTheme="majorHAnsi" w:cstheme="majorHAnsi"/>
          <w:sz w:val="22"/>
          <w:szCs w:val="22"/>
        </w:rPr>
      </w:pPr>
    </w:p>
    <w:bookmarkEnd w:id="5"/>
    <w:p w14:paraId="40AD57EA" w14:textId="77777777" w:rsidR="00356F68" w:rsidRPr="00037EE0" w:rsidRDefault="00356F68">
      <w:pPr>
        <w:rPr>
          <w:rFonts w:asciiTheme="majorHAnsi" w:hAnsiTheme="majorHAnsi" w:cstheme="majorHAnsi"/>
          <w:sz w:val="22"/>
          <w:szCs w:val="22"/>
        </w:rPr>
      </w:pPr>
    </w:p>
    <w:sectPr w:rsidR="00356F68" w:rsidRPr="00037EE0" w:rsidSect="00A42BEE">
      <w:pgSz w:w="11906" w:h="16838"/>
      <w:pgMar w:top="1135"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7F5C"/>
    <w:multiLevelType w:val="hybridMultilevel"/>
    <w:tmpl w:val="6CA46C6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F77702A"/>
    <w:multiLevelType w:val="multilevel"/>
    <w:tmpl w:val="8A707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919B5"/>
    <w:multiLevelType w:val="hybridMultilevel"/>
    <w:tmpl w:val="805816BE"/>
    <w:lvl w:ilvl="0" w:tplc="D83878C4">
      <w:start w:val="1"/>
      <w:numFmt w:val="decimal"/>
      <w:lvlText w:val="%1."/>
      <w:lvlJc w:val="left"/>
      <w:pPr>
        <w:ind w:left="720" w:hanging="360"/>
      </w:pPr>
      <w:rPr>
        <w:rFonts w:ascii="Calibri Light" w:hAnsi="Calibri Light" w:cs="Calibri Light"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E8263EC"/>
    <w:multiLevelType w:val="hybridMultilevel"/>
    <w:tmpl w:val="0854C828"/>
    <w:lvl w:ilvl="0" w:tplc="402AD72E">
      <w:start w:val="1"/>
      <w:numFmt w:val="decimal"/>
      <w:lvlText w:val="%1."/>
      <w:lvlJc w:val="left"/>
      <w:pPr>
        <w:ind w:left="720" w:hanging="360"/>
      </w:pPr>
      <w:rPr>
        <w:rFonts w:ascii="Calibri Light" w:eastAsia="Times New Roman" w:hAnsi="Calibri Light" w:cs="Calibri Ligh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33D7801"/>
    <w:multiLevelType w:val="hybridMultilevel"/>
    <w:tmpl w:val="0D9C899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3EF1681"/>
    <w:multiLevelType w:val="hybridMultilevel"/>
    <w:tmpl w:val="F2820F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BD92F60"/>
    <w:multiLevelType w:val="hybridMultilevel"/>
    <w:tmpl w:val="7C043A2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A557020"/>
    <w:multiLevelType w:val="hybridMultilevel"/>
    <w:tmpl w:val="DA1E528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0D834F2"/>
    <w:multiLevelType w:val="multilevel"/>
    <w:tmpl w:val="B2167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6B1CC5"/>
    <w:multiLevelType w:val="hybridMultilevel"/>
    <w:tmpl w:val="591275C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9073174"/>
    <w:multiLevelType w:val="hybridMultilevel"/>
    <w:tmpl w:val="95069EF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77FC3F02"/>
    <w:multiLevelType w:val="multilevel"/>
    <w:tmpl w:val="EFECE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7435136">
    <w:abstractNumId w:val="4"/>
  </w:num>
  <w:num w:numId="2" w16cid:durableId="2124372896">
    <w:abstractNumId w:val="10"/>
  </w:num>
  <w:num w:numId="3" w16cid:durableId="916936477">
    <w:abstractNumId w:val="0"/>
  </w:num>
  <w:num w:numId="4" w16cid:durableId="2031758232">
    <w:abstractNumId w:val="9"/>
  </w:num>
  <w:num w:numId="5" w16cid:durableId="1877502449">
    <w:abstractNumId w:val="8"/>
  </w:num>
  <w:num w:numId="6" w16cid:durableId="1556431889">
    <w:abstractNumId w:val="5"/>
  </w:num>
  <w:num w:numId="7" w16cid:durableId="1113866106">
    <w:abstractNumId w:val="7"/>
  </w:num>
  <w:num w:numId="8" w16cid:durableId="1190989136">
    <w:abstractNumId w:val="2"/>
  </w:num>
  <w:num w:numId="9" w16cid:durableId="322202288">
    <w:abstractNumId w:val="6"/>
  </w:num>
  <w:num w:numId="10" w16cid:durableId="1015619152">
    <w:abstractNumId w:val="3"/>
  </w:num>
  <w:num w:numId="11" w16cid:durableId="27725951">
    <w:abstractNumId w:val="11"/>
  </w:num>
  <w:num w:numId="12" w16cid:durableId="16535580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0B3"/>
    <w:rsid w:val="00022245"/>
    <w:rsid w:val="000322F9"/>
    <w:rsid w:val="00037EE0"/>
    <w:rsid w:val="000400CA"/>
    <w:rsid w:val="00074D69"/>
    <w:rsid w:val="00092132"/>
    <w:rsid w:val="00094B55"/>
    <w:rsid w:val="001031DB"/>
    <w:rsid w:val="001140B3"/>
    <w:rsid w:val="00131353"/>
    <w:rsid w:val="00136A2E"/>
    <w:rsid w:val="00137C20"/>
    <w:rsid w:val="0019418B"/>
    <w:rsid w:val="001B3C5A"/>
    <w:rsid w:val="00215EC4"/>
    <w:rsid w:val="00224549"/>
    <w:rsid w:val="00231079"/>
    <w:rsid w:val="002314FF"/>
    <w:rsid w:val="00234A49"/>
    <w:rsid w:val="002616DB"/>
    <w:rsid w:val="00266CDF"/>
    <w:rsid w:val="002906BE"/>
    <w:rsid w:val="002A569B"/>
    <w:rsid w:val="002B47B3"/>
    <w:rsid w:val="002B5272"/>
    <w:rsid w:val="002C5C4E"/>
    <w:rsid w:val="002D5BB8"/>
    <w:rsid w:val="00312E87"/>
    <w:rsid w:val="00332371"/>
    <w:rsid w:val="003361C0"/>
    <w:rsid w:val="00350EA8"/>
    <w:rsid w:val="00356F68"/>
    <w:rsid w:val="003B533E"/>
    <w:rsid w:val="003B7413"/>
    <w:rsid w:val="003C218F"/>
    <w:rsid w:val="003E188D"/>
    <w:rsid w:val="003E4F1D"/>
    <w:rsid w:val="003F04D5"/>
    <w:rsid w:val="00414533"/>
    <w:rsid w:val="004A65AA"/>
    <w:rsid w:val="004C0320"/>
    <w:rsid w:val="004E2227"/>
    <w:rsid w:val="00533C91"/>
    <w:rsid w:val="005361BA"/>
    <w:rsid w:val="00575D2F"/>
    <w:rsid w:val="0059041C"/>
    <w:rsid w:val="005E5DD9"/>
    <w:rsid w:val="00606A50"/>
    <w:rsid w:val="006100B6"/>
    <w:rsid w:val="00671868"/>
    <w:rsid w:val="00673CE6"/>
    <w:rsid w:val="00693578"/>
    <w:rsid w:val="00697CB3"/>
    <w:rsid w:val="006A71EE"/>
    <w:rsid w:val="006D02E1"/>
    <w:rsid w:val="006E2436"/>
    <w:rsid w:val="007354E9"/>
    <w:rsid w:val="00735528"/>
    <w:rsid w:val="007527C4"/>
    <w:rsid w:val="00776AAD"/>
    <w:rsid w:val="00787868"/>
    <w:rsid w:val="007E35A9"/>
    <w:rsid w:val="00813B63"/>
    <w:rsid w:val="008616CD"/>
    <w:rsid w:val="008A70D1"/>
    <w:rsid w:val="008D5708"/>
    <w:rsid w:val="0091673A"/>
    <w:rsid w:val="009832BC"/>
    <w:rsid w:val="00992883"/>
    <w:rsid w:val="009A2901"/>
    <w:rsid w:val="00A42BEE"/>
    <w:rsid w:val="00A532D6"/>
    <w:rsid w:val="00A6473B"/>
    <w:rsid w:val="00AA3B3C"/>
    <w:rsid w:val="00AB492D"/>
    <w:rsid w:val="00AC050B"/>
    <w:rsid w:val="00AE52C4"/>
    <w:rsid w:val="00B45633"/>
    <w:rsid w:val="00B75A46"/>
    <w:rsid w:val="00C00100"/>
    <w:rsid w:val="00C0607C"/>
    <w:rsid w:val="00C17002"/>
    <w:rsid w:val="00C95B33"/>
    <w:rsid w:val="00CE6C62"/>
    <w:rsid w:val="00D17AA0"/>
    <w:rsid w:val="00D358E6"/>
    <w:rsid w:val="00D55253"/>
    <w:rsid w:val="00DB2CE8"/>
    <w:rsid w:val="00DF4753"/>
    <w:rsid w:val="00E0705D"/>
    <w:rsid w:val="00E21492"/>
    <w:rsid w:val="00E26049"/>
    <w:rsid w:val="00E65F82"/>
    <w:rsid w:val="00ED6E5B"/>
    <w:rsid w:val="00EF1DC2"/>
    <w:rsid w:val="00F07F3D"/>
    <w:rsid w:val="00F541CB"/>
    <w:rsid w:val="00FA5CD4"/>
    <w:rsid w:val="00FD793C"/>
    <w:rsid w:val="00FF6A5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DCFA0"/>
  <w15:chartTrackingRefBased/>
  <w15:docId w15:val="{078AA77F-2899-4C32-9AF6-45C9BC4A5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B63"/>
    <w:pPr>
      <w:spacing w:after="0" w:line="240" w:lineRule="auto"/>
    </w:pPr>
    <w:rPr>
      <w:rFonts w:ascii="Calibri" w:eastAsia="Calibri" w:hAnsi="Calibri" w:cs="Calibri"/>
      <w:kern w:val="0"/>
      <w:sz w:val="24"/>
      <w:szCs w:val="24"/>
      <w:lang w:eastAsia="lt-LT"/>
      <w14:ligatures w14:val="none"/>
    </w:rPr>
  </w:style>
  <w:style w:type="paragraph" w:styleId="Heading1">
    <w:name w:val="heading 1"/>
    <w:basedOn w:val="Normal"/>
    <w:next w:val="Normal"/>
    <w:link w:val="Heading1Char"/>
    <w:uiPriority w:val="9"/>
    <w:qFormat/>
    <w:rsid w:val="001140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140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140B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140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140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140B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40B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40B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40B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40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140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140B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140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140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140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40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40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40B3"/>
    <w:rPr>
      <w:rFonts w:eastAsiaTheme="majorEastAsia" w:cstheme="majorBidi"/>
      <w:color w:val="272727" w:themeColor="text1" w:themeTint="D8"/>
    </w:rPr>
  </w:style>
  <w:style w:type="paragraph" w:styleId="Title">
    <w:name w:val="Title"/>
    <w:basedOn w:val="Normal"/>
    <w:next w:val="Normal"/>
    <w:link w:val="TitleChar"/>
    <w:uiPriority w:val="10"/>
    <w:qFormat/>
    <w:rsid w:val="001140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0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40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40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40B3"/>
    <w:pPr>
      <w:spacing w:before="160"/>
      <w:jc w:val="center"/>
    </w:pPr>
    <w:rPr>
      <w:i/>
      <w:iCs/>
      <w:color w:val="404040" w:themeColor="text1" w:themeTint="BF"/>
    </w:rPr>
  </w:style>
  <w:style w:type="character" w:customStyle="1" w:styleId="QuoteChar">
    <w:name w:val="Quote Char"/>
    <w:basedOn w:val="DefaultParagraphFont"/>
    <w:link w:val="Quote"/>
    <w:uiPriority w:val="29"/>
    <w:rsid w:val="001140B3"/>
    <w:rPr>
      <w:i/>
      <w:iCs/>
      <w:color w:val="404040" w:themeColor="text1" w:themeTint="BF"/>
    </w:rPr>
  </w:style>
  <w:style w:type="paragraph" w:styleId="ListParagraph">
    <w:name w:val="List Paragraph"/>
    <w:basedOn w:val="Normal"/>
    <w:uiPriority w:val="34"/>
    <w:qFormat/>
    <w:rsid w:val="001140B3"/>
    <w:pPr>
      <w:ind w:left="720"/>
      <w:contextualSpacing/>
    </w:pPr>
  </w:style>
  <w:style w:type="character" w:styleId="IntenseEmphasis">
    <w:name w:val="Intense Emphasis"/>
    <w:basedOn w:val="DefaultParagraphFont"/>
    <w:uiPriority w:val="21"/>
    <w:qFormat/>
    <w:rsid w:val="001140B3"/>
    <w:rPr>
      <w:i/>
      <w:iCs/>
      <w:color w:val="2F5496" w:themeColor="accent1" w:themeShade="BF"/>
    </w:rPr>
  </w:style>
  <w:style w:type="paragraph" w:styleId="IntenseQuote">
    <w:name w:val="Intense Quote"/>
    <w:basedOn w:val="Normal"/>
    <w:next w:val="Normal"/>
    <w:link w:val="IntenseQuoteChar"/>
    <w:uiPriority w:val="30"/>
    <w:qFormat/>
    <w:rsid w:val="001140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140B3"/>
    <w:rPr>
      <w:i/>
      <w:iCs/>
      <w:color w:val="2F5496" w:themeColor="accent1" w:themeShade="BF"/>
    </w:rPr>
  </w:style>
  <w:style w:type="character" w:styleId="IntenseReference">
    <w:name w:val="Intense Reference"/>
    <w:basedOn w:val="DefaultParagraphFont"/>
    <w:uiPriority w:val="32"/>
    <w:qFormat/>
    <w:rsid w:val="001140B3"/>
    <w:rPr>
      <w:b/>
      <w:bCs/>
      <w:smallCaps/>
      <w:color w:val="2F5496" w:themeColor="accent1" w:themeShade="BF"/>
      <w:spacing w:val="5"/>
    </w:rPr>
  </w:style>
  <w:style w:type="paragraph" w:styleId="NormalWeb">
    <w:name w:val="Normal (Web)"/>
    <w:basedOn w:val="Normal"/>
    <w:uiPriority w:val="99"/>
    <w:unhideWhenUsed/>
    <w:rsid w:val="00813B63"/>
    <w:pPr>
      <w:spacing w:before="100" w:beforeAutospacing="1" w:after="100" w:afterAutospacing="1"/>
    </w:pPr>
    <w:rPr>
      <w:rFonts w:ascii="Times New Roman" w:eastAsia="Times New Roman" w:hAnsi="Times New Roman" w:cs="Times New Roman"/>
    </w:rPr>
  </w:style>
  <w:style w:type="paragraph" w:customStyle="1" w:styleId="western">
    <w:name w:val="western"/>
    <w:basedOn w:val="Normal"/>
    <w:rsid w:val="00813B63"/>
    <w:pPr>
      <w:spacing w:before="100" w:beforeAutospacing="1" w:after="142" w:line="276" w:lineRule="auto"/>
    </w:pPr>
    <w:rPr>
      <w:rFonts w:ascii="Liberation Serif" w:eastAsia="Times New Roman" w:hAnsi="Liberation Serif" w:cs="Liberation Serif"/>
      <w:color w:val="00000A"/>
    </w:rPr>
  </w:style>
  <w:style w:type="table" w:styleId="TableGrid">
    <w:name w:val="Table Grid"/>
    <w:basedOn w:val="TableNormal"/>
    <w:uiPriority w:val="59"/>
    <w:rsid w:val="00813B63"/>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3B63"/>
    <w:pPr>
      <w:tabs>
        <w:tab w:val="center" w:pos="4986"/>
        <w:tab w:val="right" w:pos="9972"/>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813B63"/>
    <w:rPr>
      <w:kern w:val="0"/>
      <w:lang w:val="en-US"/>
      <w14:ligatures w14:val="none"/>
    </w:rPr>
  </w:style>
  <w:style w:type="character" w:styleId="Strong">
    <w:name w:val="Strong"/>
    <w:basedOn w:val="DefaultParagraphFont"/>
    <w:uiPriority w:val="22"/>
    <w:qFormat/>
    <w:rsid w:val="00C95B33"/>
    <w:rPr>
      <w:b/>
      <w:bCs/>
    </w:rPr>
  </w:style>
  <w:style w:type="paragraph" w:customStyle="1" w:styleId="pdq2pgselectionanchorcontainer">
    <w:name w:val="pdq2pg_selectionanchorcontainer"/>
    <w:basedOn w:val="Normal"/>
    <w:rsid w:val="00C95B33"/>
    <w:pPr>
      <w:spacing w:before="100" w:beforeAutospacing="1" w:after="100" w:afterAutospacing="1"/>
    </w:pPr>
    <w:rPr>
      <w:rFonts w:ascii="Times New Roman" w:eastAsia="Times New Roman" w:hAnsi="Times New Roman" w:cs="Times New Roman"/>
      <w:lang w:val="en-US" w:eastAsia="en-US"/>
    </w:rPr>
  </w:style>
  <w:style w:type="paragraph" w:customStyle="1" w:styleId="font-claude-response-body">
    <w:name w:val="font-claude-response-body"/>
    <w:basedOn w:val="Normal"/>
    <w:rsid w:val="00074D69"/>
    <w:pPr>
      <w:spacing w:before="100" w:beforeAutospacing="1" w:after="100" w:afterAutospacing="1"/>
    </w:pPr>
    <w:rPr>
      <w:rFonts w:ascii="Times New Roman" w:eastAsia="Times New Roman" w:hAnsi="Times New Roman" w:cs="Times New Roman"/>
    </w:rPr>
  </w:style>
  <w:style w:type="paragraph" w:customStyle="1" w:styleId="ds-markdown-paragraph">
    <w:name w:val="ds-markdown-paragraph"/>
    <w:basedOn w:val="Normal"/>
    <w:rsid w:val="00074D69"/>
    <w:pPr>
      <w:spacing w:before="100" w:beforeAutospacing="1" w:after="100" w:afterAutospacing="1"/>
    </w:pPr>
    <w:rPr>
      <w:rFonts w:ascii="Times New Roman" w:eastAsia="Times New Roman" w:hAnsi="Times New Roman"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7.xml"/><Relationship Id="rId18" Type="http://schemas.openxmlformats.org/officeDocument/2006/relationships/chart" Target="charts/chart12.xml"/><Relationship Id="rId3" Type="http://schemas.openxmlformats.org/officeDocument/2006/relationships/styles" Target="styles.xml"/><Relationship Id="rId21" Type="http://schemas.openxmlformats.org/officeDocument/2006/relationships/chart" Target="charts/chart15.xml"/><Relationship Id="rId7" Type="http://schemas.openxmlformats.org/officeDocument/2006/relationships/chart" Target="charts/chart2.xml"/><Relationship Id="rId12" Type="http://schemas.openxmlformats.org/officeDocument/2006/relationships/chart" Target="charts/chart6.xml"/><Relationship Id="rId17" Type="http://schemas.openxmlformats.org/officeDocument/2006/relationships/chart" Target="charts/chart11.xml"/><Relationship Id="rId2" Type="http://schemas.openxmlformats.org/officeDocument/2006/relationships/numbering" Target="numbering.xml"/><Relationship Id="rId16" Type="http://schemas.openxmlformats.org/officeDocument/2006/relationships/chart" Target="charts/chart10.xml"/><Relationship Id="rId20"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chart" Target="charts/chart9.xml"/><Relationship Id="rId23" Type="http://schemas.openxmlformats.org/officeDocument/2006/relationships/theme" Target="theme/theme1.xml"/><Relationship Id="rId10" Type="http://schemas.openxmlformats.org/officeDocument/2006/relationships/chart" Target="charts/chart5.xml"/><Relationship Id="rId19" Type="http://schemas.openxmlformats.org/officeDocument/2006/relationships/chart" Target="charts/chart13.xm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chart" Target="charts/chart8.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cuments\EQUASS_viskas\EQUASS_ataskaita_2022\kvalifikacijos_k&#279;llimo_vertinima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3" Type="http://schemas.openxmlformats.org/officeDocument/2006/relationships/oleObject" Target="file:///C:\Users\Birute\Documents\2025%20m.%20kriterijai.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Birute\Desktop\2024-%202025%20rezultatai%20,%20kriterijai\43%20Kriterijus%202024-%202025%20m..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6.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7.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8.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9.xlsx"/></Relationships>
</file>

<file path=word/charts/_rels/chart15.xml.rels><?xml version="1.0" encoding="UTF-8" standalone="yes"?>
<Relationships xmlns="http://schemas.openxmlformats.org/package/2006/relationships"><Relationship Id="rId3" Type="http://schemas.openxmlformats.org/officeDocument/2006/relationships/oleObject" Target="file:///C:\Users\User\Documents\EQUASS_viskas\Pazangos_ataskaita_2026\diagramos_kelios.xlsx" TargetMode="External"/><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r>
              <a:rPr lang="lt-LT" sz="1200"/>
              <a:t>Personalo mokymų vertinimas, 2025 m.</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endParaRPr lang="lt-LT"/>
        </a:p>
      </c:txPr>
    </c:title>
    <c:autoTitleDeleted val="0"/>
    <c:plotArea>
      <c:layout/>
      <c:pieChart>
        <c:varyColors val="1"/>
        <c:ser>
          <c:idx val="0"/>
          <c:order val="0"/>
          <c:tx>
            <c:strRef>
              <c:f>'20232025'!$B$52</c:f>
              <c:strCache>
                <c:ptCount val="1"/>
                <c:pt idx="0">
                  <c:v>proc.</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00A6-4112-83E5-A3AFE3D075F9}"/>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00A6-4112-83E5-A3AFE3D075F9}"/>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00A6-4112-83E5-A3AFE3D075F9}"/>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00A6-4112-83E5-A3AFE3D075F9}"/>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lt-LT"/>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'20232025'!$A$53:$A$56</c:f>
              <c:strCache>
                <c:ptCount val="4"/>
                <c:pt idx="0">
                  <c:v>Mokymai patenkino mano profesinius poreikius</c:v>
                </c:pt>
                <c:pt idx="1">
                  <c:v>Mokymai vidutiniškai patenkino mano profesinius poreikius</c:v>
                </c:pt>
                <c:pt idx="2">
                  <c:v>Mokymuose įgytas žinias pritaikiau savo profesinėje veikloje</c:v>
                </c:pt>
                <c:pt idx="3">
                  <c:v>Mokymuose įgytas žinias iš dalies pritaikiau savo profesinėje veikloje</c:v>
                </c:pt>
              </c:strCache>
            </c:strRef>
          </c:cat>
          <c:val>
            <c:numRef>
              <c:f>'20232025'!$B$53:$B$56</c:f>
              <c:numCache>
                <c:formatCode>0.00%</c:formatCode>
                <c:ptCount val="4"/>
                <c:pt idx="0" formatCode="0%">
                  <c:v>0.82</c:v>
                </c:pt>
                <c:pt idx="1">
                  <c:v>0.16200000000000001</c:v>
                </c:pt>
                <c:pt idx="2" formatCode="0%">
                  <c:v>0.51</c:v>
                </c:pt>
                <c:pt idx="3">
                  <c:v>0.46600000000000003</c:v>
                </c:pt>
              </c:numCache>
            </c:numRef>
          </c:val>
          <c:extLst>
            <c:ext xmlns:c16="http://schemas.microsoft.com/office/drawing/2014/chart" uri="{C3380CC4-5D6E-409C-BE32-E72D297353CC}">
              <c16:uniqueId val="{00000008-00A6-4112-83E5-A3AFE3D075F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t-LT"/>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t-L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lt-LT" sz="1200" b="1" i="0" u="none" strike="noStrike" kern="1200" spc="0" baseline="0">
                <a:solidFill>
                  <a:sysClr val="windowText" lastClr="000000">
                    <a:lumMod val="65000"/>
                    <a:lumOff val="35000"/>
                  </a:sysClr>
                </a:solidFill>
              </a:rPr>
              <a:t>Teisės į užimtumą ir saviraišką įgyvendinimas</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lt-LT"/>
        </a:p>
      </c:txPr>
    </c:title>
    <c:autoTitleDeleted val="0"/>
    <c:plotArea>
      <c:layout/>
      <c:barChart>
        <c:barDir val="col"/>
        <c:grouping val="clustered"/>
        <c:varyColors val="0"/>
        <c:ser>
          <c:idx val="0"/>
          <c:order val="0"/>
          <c:tx>
            <c:strRef>
              <c:f>Sheet1!$B$1</c:f>
              <c:strCache>
                <c:ptCount val="1"/>
                <c:pt idx="0">
                  <c:v>Turi galimybę dalyvauti veiklose</c:v>
                </c:pt>
              </c:strCache>
            </c:strRef>
          </c:tx>
          <c:spPr>
            <a:solidFill>
              <a:schemeClr val="accent1"/>
            </a:solidFill>
            <a:ln>
              <a:noFill/>
            </a:ln>
            <a:effectLst/>
          </c:spPr>
          <c:invertIfNegative val="0"/>
          <c:dLbls>
            <c:numFmt formatCode="\8\5\%"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85</c:v>
                </c:pt>
                <c:pt idx="1">
                  <c:v>82</c:v>
                </c:pt>
              </c:numCache>
            </c:numRef>
          </c:val>
          <c:extLst>
            <c:ext xmlns:c16="http://schemas.microsoft.com/office/drawing/2014/chart" uri="{C3380CC4-5D6E-409C-BE32-E72D297353CC}">
              <c16:uniqueId val="{00000000-2415-4254-BE20-39A3E401DE35}"/>
            </c:ext>
          </c:extLst>
        </c:ser>
        <c:ser>
          <c:idx val="1"/>
          <c:order val="1"/>
          <c:tx>
            <c:strRef>
              <c:f>Sheet1!$C$1</c:f>
              <c:strCache>
                <c:ptCount val="1"/>
                <c:pt idx="0">
                  <c:v>Gali patys rinktis laisvalaikio formą</c:v>
                </c:pt>
              </c:strCache>
            </c:strRef>
          </c:tx>
          <c:spPr>
            <a:solidFill>
              <a:schemeClr val="accent2"/>
            </a:solidFill>
            <a:ln>
              <a:noFill/>
            </a:ln>
            <a:effectLst/>
          </c:spPr>
          <c:invertIfNegative val="0"/>
          <c:dLbls>
            <c:dLbl>
              <c:idx val="0"/>
              <c:numFmt formatCode="\8\2\%"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extLst>
                <c:ext xmlns:c16="http://schemas.microsoft.com/office/drawing/2014/chart" uri="{C3380CC4-5D6E-409C-BE32-E72D297353CC}">
                  <c16:uniqueId val="{00000001-2415-4254-BE20-39A3E401DE35}"/>
                </c:ext>
              </c:extLst>
            </c:dLbl>
            <c:dLbl>
              <c:idx val="1"/>
              <c:numFmt formatCode="\9\2\%"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extLst>
                <c:ext xmlns:c16="http://schemas.microsoft.com/office/drawing/2014/chart" uri="{C3380CC4-5D6E-409C-BE32-E72D297353CC}">
                  <c16:uniqueId val="{00000002-2415-4254-BE20-39A3E401DE3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Sheet1!$C$2:$C$3</c:f>
              <c:numCache>
                <c:formatCode>General</c:formatCode>
                <c:ptCount val="2"/>
                <c:pt idx="0">
                  <c:v>82</c:v>
                </c:pt>
                <c:pt idx="1">
                  <c:v>92</c:v>
                </c:pt>
              </c:numCache>
            </c:numRef>
          </c:val>
          <c:extLst>
            <c:ext xmlns:c16="http://schemas.microsoft.com/office/drawing/2014/chart" uri="{C3380CC4-5D6E-409C-BE32-E72D297353CC}">
              <c16:uniqueId val="{00000003-2415-4254-BE20-39A3E401DE35}"/>
            </c:ext>
          </c:extLst>
        </c:ser>
        <c:ser>
          <c:idx val="2"/>
          <c:order val="2"/>
          <c:tx>
            <c:strRef>
              <c:f>Sheet1!$D$1</c:f>
              <c:strCache>
                <c:ptCount val="1"/>
                <c:pt idx="0">
                  <c:v>Patenkitas siūlomomis veiklomis</c:v>
                </c:pt>
              </c:strCache>
            </c:strRef>
          </c:tx>
          <c:spPr>
            <a:solidFill>
              <a:schemeClr val="accent3"/>
            </a:solidFill>
            <a:ln>
              <a:noFill/>
            </a:ln>
            <a:effectLst/>
          </c:spPr>
          <c:invertIfNegative val="0"/>
          <c:dLbls>
            <c:dLbl>
              <c:idx val="0"/>
              <c:numFmt formatCode="\7\6\%"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extLst>
                <c:ext xmlns:c16="http://schemas.microsoft.com/office/drawing/2014/chart" uri="{C3380CC4-5D6E-409C-BE32-E72D297353CC}">
                  <c16:uniqueId val="{00000004-2415-4254-BE20-39A3E401DE35}"/>
                </c:ext>
              </c:extLst>
            </c:dLbl>
            <c:dLbl>
              <c:idx val="1"/>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a:t>90</a:t>
                    </a:r>
                    <a:r>
                      <a:rPr lang="en-US">
                        <a:latin typeface="Times New Roman" panose="02020603050405020304" pitchFamily="18" charset="0"/>
                        <a:cs typeface="Times New Roman" panose="02020603050405020304" pitchFamily="18" charset="0"/>
                      </a:rPr>
                      <a:t>%</a:t>
                    </a:r>
                    <a:r>
                      <a:rPr lang="en-US" baseline="0"/>
                      <a:t> </a:t>
                    </a:r>
                    <a:endParaRPr lang="en-US"/>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7.6666666666666661E-2"/>
                      <c:h val="6.3432695913010873E-2"/>
                    </c:manualLayout>
                  </c15:layout>
                  <c15:showDataLabelsRange val="0"/>
                </c:ext>
                <c:ext xmlns:c16="http://schemas.microsoft.com/office/drawing/2014/chart" uri="{C3380CC4-5D6E-409C-BE32-E72D297353CC}">
                  <c16:uniqueId val="{00000005-2415-4254-BE20-39A3E401DE3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Sheet1!$D$2:$D$3</c:f>
              <c:numCache>
                <c:formatCode>General</c:formatCode>
                <c:ptCount val="2"/>
                <c:pt idx="0">
                  <c:v>76</c:v>
                </c:pt>
                <c:pt idx="1">
                  <c:v>90</c:v>
                </c:pt>
              </c:numCache>
            </c:numRef>
          </c:val>
          <c:extLst>
            <c:ext xmlns:c16="http://schemas.microsoft.com/office/drawing/2014/chart" uri="{C3380CC4-5D6E-409C-BE32-E72D297353CC}">
              <c16:uniqueId val="{00000006-2415-4254-BE20-39A3E401DE35}"/>
            </c:ext>
          </c:extLst>
        </c:ser>
        <c:dLbls>
          <c:showLegendKey val="0"/>
          <c:showVal val="0"/>
          <c:showCatName val="0"/>
          <c:showSerName val="0"/>
          <c:showPercent val="0"/>
          <c:showBubbleSize val="0"/>
        </c:dLbls>
        <c:gapWidth val="219"/>
        <c:overlap val="-27"/>
        <c:axId val="599780144"/>
        <c:axId val="591473904"/>
      </c:barChart>
      <c:catAx>
        <c:axId val="599780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591473904"/>
        <c:crosses val="autoZero"/>
        <c:auto val="1"/>
        <c:lblAlgn val="ctr"/>
        <c:lblOffset val="100"/>
        <c:noMultiLvlLbl val="0"/>
      </c:catAx>
      <c:valAx>
        <c:axId val="591473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599780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r>
              <a:rPr lang="lt-LT" sz="1200"/>
              <a:t>Partnerių stiprinimo gyvenimo kokybės sritys paslaugų</a:t>
            </a:r>
            <a:r>
              <a:rPr lang="lt-LT" sz="1200" baseline="0"/>
              <a:t> gavėjų požiūriu</a:t>
            </a:r>
            <a:endParaRPr lang="en-US" sz="1200"/>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Sheet1!$A$4</c:f>
              <c:strCache>
                <c:ptCount val="1"/>
                <c:pt idx="0">
                  <c:v>Lietuvos Raudonasis kryžius</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Sheet1!$A$5:$A$9</c:f>
              <c:numCache>
                <c:formatCode>General</c:formatCode>
                <c:ptCount val="5"/>
                <c:pt idx="0">
                  <c:v>39</c:v>
                </c:pt>
                <c:pt idx="1">
                  <c:v>10</c:v>
                </c:pt>
                <c:pt idx="2">
                  <c:v>16</c:v>
                </c:pt>
                <c:pt idx="3">
                  <c:v>68</c:v>
                </c:pt>
                <c:pt idx="4">
                  <c:v>32</c:v>
                </c:pt>
              </c:numCache>
            </c:numRef>
          </c:val>
          <c:extLst>
            <c:ext xmlns:c16="http://schemas.microsoft.com/office/drawing/2014/chart" uri="{C3380CC4-5D6E-409C-BE32-E72D297353CC}">
              <c16:uniqueId val="{00000000-9D34-410E-8DF8-CA911A3189C5}"/>
            </c:ext>
          </c:extLst>
        </c:ser>
        <c:ser>
          <c:idx val="1"/>
          <c:order val="1"/>
          <c:tx>
            <c:strRef>
              <c:f>Sheet1!$B$4</c:f>
              <c:strCache>
                <c:ptCount val="1"/>
                <c:pt idx="0">
                  <c:v>Kauno apskr. vieš. Biblioteka</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Sheet1!$B$5:$B$9</c:f>
              <c:numCache>
                <c:formatCode>General</c:formatCode>
                <c:ptCount val="5"/>
                <c:pt idx="0">
                  <c:v>32</c:v>
                </c:pt>
                <c:pt idx="1">
                  <c:v>5</c:v>
                </c:pt>
                <c:pt idx="2">
                  <c:v>10</c:v>
                </c:pt>
                <c:pt idx="3">
                  <c:v>59</c:v>
                </c:pt>
                <c:pt idx="4">
                  <c:v>61</c:v>
                </c:pt>
              </c:numCache>
            </c:numRef>
          </c:val>
          <c:extLst>
            <c:ext xmlns:c16="http://schemas.microsoft.com/office/drawing/2014/chart" uri="{C3380CC4-5D6E-409C-BE32-E72D297353CC}">
              <c16:uniqueId val="{00000001-9D34-410E-8DF8-CA911A3189C5}"/>
            </c:ext>
          </c:extLst>
        </c:ser>
        <c:ser>
          <c:idx val="2"/>
          <c:order val="2"/>
          <c:tx>
            <c:strRef>
              <c:f>Sheet1!$C$4</c:f>
              <c:strCache>
                <c:ptCount val="1"/>
                <c:pt idx="0">
                  <c:v>Lietuvos audiosen. Biblioteka</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Sheet1!$C$5:$C$9</c:f>
              <c:numCache>
                <c:formatCode>General</c:formatCode>
                <c:ptCount val="5"/>
                <c:pt idx="0">
                  <c:v>14</c:v>
                </c:pt>
                <c:pt idx="1">
                  <c:v>7</c:v>
                </c:pt>
                <c:pt idx="2">
                  <c:v>32</c:v>
                </c:pt>
                <c:pt idx="3">
                  <c:v>45</c:v>
                </c:pt>
                <c:pt idx="4">
                  <c:v>24</c:v>
                </c:pt>
              </c:numCache>
            </c:numRef>
          </c:val>
          <c:extLst>
            <c:ext xmlns:c16="http://schemas.microsoft.com/office/drawing/2014/chart" uri="{C3380CC4-5D6E-409C-BE32-E72D297353CC}">
              <c16:uniqueId val="{00000002-9D34-410E-8DF8-CA911A3189C5}"/>
            </c:ext>
          </c:extLst>
        </c:ser>
        <c:dLbls>
          <c:dLblPos val="inEnd"/>
          <c:showLegendKey val="0"/>
          <c:showVal val="1"/>
          <c:showCatName val="0"/>
          <c:showSerName val="0"/>
          <c:showPercent val="0"/>
          <c:showBubbleSize val="0"/>
        </c:dLbls>
        <c:gapWidth val="65"/>
        <c:axId val="2127849920"/>
        <c:axId val="107619744"/>
      </c:barChart>
      <c:catAx>
        <c:axId val="2127849920"/>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r>
                  <a:rPr lang="lt-LT" b="0"/>
                  <a:t>1. Sveikata 2. Gerbūvis 3. Saugumas 4. Soc.ryšiai 5. Savirealizacija</a:t>
                </a:r>
                <a:endParaRPr lang="en-US" b="0"/>
              </a:p>
            </c:rich>
          </c:tx>
          <c:overlay val="0"/>
          <c:spPr>
            <a:no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title>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07619744"/>
        <c:crosses val="autoZero"/>
        <c:auto val="1"/>
        <c:lblAlgn val="ctr"/>
        <c:lblOffset val="100"/>
        <c:noMultiLvlLbl val="0"/>
      </c:catAx>
      <c:valAx>
        <c:axId val="10761974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lt-LT"/>
                  <a:t>Procentinė išraiška</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crossAx val="212784992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r>
              <a:rPr lang="en-US" sz="1200"/>
              <a:t>Partneri</a:t>
            </a:r>
            <a:r>
              <a:rPr lang="lt-LT" sz="1200"/>
              <a:t>ų stiprinimo gyvenimo kokybės sritys darbuotojų požiūriu</a:t>
            </a:r>
            <a:endParaRPr lang="en-US" sz="1200"/>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Sheet1!$A$12</c:f>
              <c:strCache>
                <c:ptCount val="1"/>
                <c:pt idx="0">
                  <c:v>Lietuvos Raudonasis kryžius</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Sheet1!$A$13:$A$17</c:f>
              <c:numCache>
                <c:formatCode>General</c:formatCode>
                <c:ptCount val="5"/>
                <c:pt idx="0">
                  <c:v>42</c:v>
                </c:pt>
                <c:pt idx="1">
                  <c:v>5</c:v>
                </c:pt>
                <c:pt idx="2">
                  <c:v>25</c:v>
                </c:pt>
                <c:pt idx="3">
                  <c:v>70</c:v>
                </c:pt>
                <c:pt idx="4">
                  <c:v>56</c:v>
                </c:pt>
              </c:numCache>
            </c:numRef>
          </c:val>
          <c:extLst>
            <c:ext xmlns:c16="http://schemas.microsoft.com/office/drawing/2014/chart" uri="{C3380CC4-5D6E-409C-BE32-E72D297353CC}">
              <c16:uniqueId val="{00000000-45C1-4681-B670-6A1AA0FB1ADD}"/>
            </c:ext>
          </c:extLst>
        </c:ser>
        <c:ser>
          <c:idx val="1"/>
          <c:order val="1"/>
          <c:tx>
            <c:strRef>
              <c:f>Sheet1!$B$12</c:f>
              <c:strCache>
                <c:ptCount val="1"/>
                <c:pt idx="0">
                  <c:v>Kauno apskr. vieš. Biblioteka</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Sheet1!$B$13:$B$17</c:f>
              <c:numCache>
                <c:formatCode>General</c:formatCode>
                <c:ptCount val="5"/>
                <c:pt idx="0">
                  <c:v>38</c:v>
                </c:pt>
                <c:pt idx="1">
                  <c:v>8</c:v>
                </c:pt>
                <c:pt idx="2">
                  <c:v>34</c:v>
                </c:pt>
                <c:pt idx="3">
                  <c:v>60</c:v>
                </c:pt>
                <c:pt idx="4">
                  <c:v>72</c:v>
                </c:pt>
              </c:numCache>
            </c:numRef>
          </c:val>
          <c:extLst>
            <c:ext xmlns:c16="http://schemas.microsoft.com/office/drawing/2014/chart" uri="{C3380CC4-5D6E-409C-BE32-E72D297353CC}">
              <c16:uniqueId val="{00000001-45C1-4681-B670-6A1AA0FB1ADD}"/>
            </c:ext>
          </c:extLst>
        </c:ser>
        <c:ser>
          <c:idx val="2"/>
          <c:order val="2"/>
          <c:tx>
            <c:strRef>
              <c:f>Sheet1!$C$12</c:f>
              <c:strCache>
                <c:ptCount val="1"/>
                <c:pt idx="0">
                  <c:v>Lietuvos audiosen. Biblioteka</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Sheet1!$C$13:$C$17</c:f>
              <c:numCache>
                <c:formatCode>General</c:formatCode>
                <c:ptCount val="5"/>
                <c:pt idx="0">
                  <c:v>43</c:v>
                </c:pt>
                <c:pt idx="1">
                  <c:v>10</c:v>
                </c:pt>
                <c:pt idx="2">
                  <c:v>30</c:v>
                </c:pt>
                <c:pt idx="3">
                  <c:v>52</c:v>
                </c:pt>
                <c:pt idx="4">
                  <c:v>20</c:v>
                </c:pt>
              </c:numCache>
            </c:numRef>
          </c:val>
          <c:extLst>
            <c:ext xmlns:c16="http://schemas.microsoft.com/office/drawing/2014/chart" uri="{C3380CC4-5D6E-409C-BE32-E72D297353CC}">
              <c16:uniqueId val="{00000002-45C1-4681-B670-6A1AA0FB1ADD}"/>
            </c:ext>
          </c:extLst>
        </c:ser>
        <c:dLbls>
          <c:dLblPos val="inEnd"/>
          <c:showLegendKey val="0"/>
          <c:showVal val="1"/>
          <c:showCatName val="0"/>
          <c:showSerName val="0"/>
          <c:showPercent val="0"/>
          <c:showBubbleSize val="0"/>
        </c:dLbls>
        <c:gapWidth val="65"/>
        <c:axId val="181781008"/>
        <c:axId val="76830224"/>
      </c:barChart>
      <c:catAx>
        <c:axId val="181781008"/>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r>
                  <a:rPr lang="lt-LT" b="0"/>
                  <a:t>1. Sveikata 2. Gerbūvis 3. Saugumas 4. Soc. ryšiai 5. Savirealizacija</a:t>
                </a:r>
                <a:endParaRPr lang="en-US" b="0"/>
              </a:p>
            </c:rich>
          </c:tx>
          <c:overlay val="0"/>
          <c:spPr>
            <a:no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title>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76830224"/>
        <c:crosses val="autoZero"/>
        <c:auto val="1"/>
        <c:lblAlgn val="ctr"/>
        <c:lblOffset val="100"/>
        <c:noMultiLvlLbl val="0"/>
      </c:catAx>
      <c:valAx>
        <c:axId val="7683022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lt-LT"/>
                  <a:t>Procentinė išraiška</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crossAx val="181781008"/>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t-LT" sz="1200" b="1"/>
              <a:t>Gyventojų pateiktų pasiūlymų skaičius už 2024 - 2025 metus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t-LT"/>
        </a:p>
      </c:txPr>
    </c:title>
    <c:autoTitleDeleted val="0"/>
    <c:plotArea>
      <c:layout>
        <c:manualLayout>
          <c:layoutTarget val="inner"/>
          <c:xMode val="edge"/>
          <c:yMode val="edge"/>
          <c:x val="6.6580927384076991E-2"/>
          <c:y val="0.24667952650497002"/>
          <c:w val="0.90286351706036749"/>
          <c:h val="0.39102551940043639"/>
        </c:manualLayout>
      </c:layout>
      <c:barChart>
        <c:barDir val="col"/>
        <c:grouping val="clustered"/>
        <c:varyColors val="0"/>
        <c:ser>
          <c:idx val="0"/>
          <c:order val="0"/>
          <c:tx>
            <c:strRef>
              <c:f>Lapas1!$A$36</c:f>
              <c:strCache>
                <c:ptCount val="1"/>
                <c:pt idx="0">
                  <c:v>Pasiūlymai pagal pasitenkinimą teikiamomis paslaugomis klausimyną</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Lapas1!$B$34:$D$35</c:f>
              <c:strCache>
                <c:ptCount val="2"/>
                <c:pt idx="0">
                  <c:v>2024 m.</c:v>
                </c:pt>
                <c:pt idx="1">
                  <c:v>2025 m.</c:v>
                </c:pt>
              </c:strCache>
            </c:strRef>
          </c:cat>
          <c:val>
            <c:numRef>
              <c:f>Lapas1!$B$36:$D$36</c:f>
              <c:numCache>
                <c:formatCode>General</c:formatCode>
                <c:ptCount val="3"/>
                <c:pt idx="0">
                  <c:v>6</c:v>
                </c:pt>
                <c:pt idx="1">
                  <c:v>10</c:v>
                </c:pt>
              </c:numCache>
            </c:numRef>
          </c:val>
          <c:extLst>
            <c:ext xmlns:c16="http://schemas.microsoft.com/office/drawing/2014/chart" uri="{C3380CC4-5D6E-409C-BE32-E72D297353CC}">
              <c16:uniqueId val="{00000000-349F-4500-9247-BC338FBA7F2B}"/>
            </c:ext>
          </c:extLst>
        </c:ser>
        <c:ser>
          <c:idx val="1"/>
          <c:order val="1"/>
          <c:tx>
            <c:strRef>
              <c:f>Lapas1!$A$37</c:f>
              <c:strCache>
                <c:ptCount val="1"/>
                <c:pt idx="0">
                  <c:v>Pasiūlymai susirinkimų metu</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Lapas1!$B$34:$D$35</c:f>
              <c:strCache>
                <c:ptCount val="2"/>
                <c:pt idx="0">
                  <c:v>2024 m.</c:v>
                </c:pt>
                <c:pt idx="1">
                  <c:v>2025 m.</c:v>
                </c:pt>
              </c:strCache>
            </c:strRef>
          </c:cat>
          <c:val>
            <c:numRef>
              <c:f>Lapas1!$B$37:$D$37</c:f>
              <c:numCache>
                <c:formatCode>General</c:formatCode>
                <c:ptCount val="3"/>
                <c:pt idx="0">
                  <c:v>13</c:v>
                </c:pt>
                <c:pt idx="1">
                  <c:v>9</c:v>
                </c:pt>
              </c:numCache>
            </c:numRef>
          </c:val>
          <c:extLst>
            <c:ext xmlns:c16="http://schemas.microsoft.com/office/drawing/2014/chart" uri="{C3380CC4-5D6E-409C-BE32-E72D297353CC}">
              <c16:uniqueId val="{00000001-349F-4500-9247-BC338FBA7F2B}"/>
            </c:ext>
          </c:extLst>
        </c:ser>
        <c:dLbls>
          <c:dLblPos val="outEnd"/>
          <c:showLegendKey val="0"/>
          <c:showVal val="1"/>
          <c:showCatName val="0"/>
          <c:showSerName val="0"/>
          <c:showPercent val="0"/>
          <c:showBubbleSize val="0"/>
        </c:dLbls>
        <c:gapWidth val="219"/>
        <c:overlap val="-27"/>
        <c:axId val="1118481455"/>
        <c:axId val="1118492495"/>
      </c:barChart>
      <c:catAx>
        <c:axId val="11184814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118492495"/>
        <c:crosses val="autoZero"/>
        <c:auto val="1"/>
        <c:lblAlgn val="ctr"/>
        <c:lblOffset val="100"/>
        <c:noMultiLvlLbl val="0"/>
      </c:catAx>
      <c:valAx>
        <c:axId val="11184924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118481455"/>
        <c:crosses val="autoZero"/>
        <c:crossBetween val="between"/>
      </c:valAx>
      <c:spPr>
        <a:noFill/>
        <a:ln>
          <a:noFill/>
        </a:ln>
        <a:effectLst/>
      </c:spPr>
    </c:plotArea>
    <c:legend>
      <c:legendPos val="b"/>
      <c:layout>
        <c:manualLayout>
          <c:xMode val="edge"/>
          <c:yMode val="edge"/>
          <c:x val="4.9999956328254311E-2"/>
          <c:y val="0.7781603253791749"/>
          <c:w val="0.89999991265650858"/>
          <c:h val="0.137491935645448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lt-LT" sz="1200" b="1"/>
              <a:t>Gyvenimo kokybės vertinimo 2024 - 2025m. palyginimas</a:t>
            </a:r>
          </a:p>
        </c:rich>
      </c:tx>
      <c:layout>
        <c:manualLayout>
          <c:xMode val="edge"/>
          <c:yMode val="edge"/>
          <c:x val="0.20107424960505527"/>
          <c:y val="2.777777777777777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lt-LT"/>
        </a:p>
      </c:txPr>
    </c:title>
    <c:autoTitleDeleted val="0"/>
    <c:plotArea>
      <c:layout/>
      <c:barChart>
        <c:barDir val="col"/>
        <c:grouping val="clustered"/>
        <c:varyColors val="0"/>
        <c:ser>
          <c:idx val="0"/>
          <c:order val="0"/>
          <c:tx>
            <c:strRef>
              <c:f>'[2025 m. kriterijai.xlsx]Lapas1'!$B$61:$B$63</c:f>
              <c:strCache>
                <c:ptCount val="3"/>
                <c:pt idx="1">
                  <c:v>2024 m.</c:v>
                </c:pt>
                <c:pt idx="2">
                  <c:v>Sutinku</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'[2025 m. kriterijai.xlsx]Lapas1'!$A$64:$A$68</c:f>
              <c:strCache>
                <c:ptCount val="5"/>
                <c:pt idx="0">
                  <c:v>Savirealizacija</c:v>
                </c:pt>
                <c:pt idx="1">
                  <c:v>Soc. ryšiai</c:v>
                </c:pt>
                <c:pt idx="2">
                  <c:v>Saugumas</c:v>
                </c:pt>
                <c:pt idx="3">
                  <c:v>Gerbuvis</c:v>
                </c:pt>
                <c:pt idx="4">
                  <c:v>Sveikata</c:v>
                </c:pt>
              </c:strCache>
            </c:strRef>
          </c:cat>
          <c:val>
            <c:numRef>
              <c:f>'[2025 m. kriterijai.xlsx]Lapas1'!$B$64:$B$68</c:f>
              <c:numCache>
                <c:formatCode>0.00%</c:formatCode>
                <c:ptCount val="5"/>
                <c:pt idx="0">
                  <c:v>0.92</c:v>
                </c:pt>
                <c:pt idx="1">
                  <c:v>0.92</c:v>
                </c:pt>
                <c:pt idx="2">
                  <c:v>0.93</c:v>
                </c:pt>
                <c:pt idx="3">
                  <c:v>0.93</c:v>
                </c:pt>
                <c:pt idx="4">
                  <c:v>0.88</c:v>
                </c:pt>
              </c:numCache>
            </c:numRef>
          </c:val>
          <c:extLst>
            <c:ext xmlns:c16="http://schemas.microsoft.com/office/drawing/2014/chart" uri="{C3380CC4-5D6E-409C-BE32-E72D297353CC}">
              <c16:uniqueId val="{00000000-47E1-4A87-A796-9D18EBA9A26F}"/>
            </c:ext>
          </c:extLst>
        </c:ser>
        <c:ser>
          <c:idx val="1"/>
          <c:order val="1"/>
          <c:tx>
            <c:strRef>
              <c:f>'[2025 m. kriterijai.xlsx]Lapas1'!$C$61:$C$63</c:f>
              <c:strCache>
                <c:ptCount val="3"/>
                <c:pt idx="1">
                  <c:v>2025 m.</c:v>
                </c:pt>
                <c:pt idx="2">
                  <c:v>Sutinku</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'[2025 m. kriterijai.xlsx]Lapas1'!$A$64:$A$68</c:f>
              <c:strCache>
                <c:ptCount val="5"/>
                <c:pt idx="0">
                  <c:v>Savirealizacija</c:v>
                </c:pt>
                <c:pt idx="1">
                  <c:v>Soc. ryšiai</c:v>
                </c:pt>
                <c:pt idx="2">
                  <c:v>Saugumas</c:v>
                </c:pt>
                <c:pt idx="3">
                  <c:v>Gerbuvis</c:v>
                </c:pt>
                <c:pt idx="4">
                  <c:v>Sveikata</c:v>
                </c:pt>
              </c:strCache>
            </c:strRef>
          </c:cat>
          <c:val>
            <c:numRef>
              <c:f>'[2025 m. kriterijai.xlsx]Lapas1'!$C$64:$C$68</c:f>
              <c:numCache>
                <c:formatCode>0.00%</c:formatCode>
                <c:ptCount val="5"/>
                <c:pt idx="0">
                  <c:v>0.89700000000000002</c:v>
                </c:pt>
                <c:pt idx="1">
                  <c:v>0.81499999999999995</c:v>
                </c:pt>
                <c:pt idx="2">
                  <c:v>0.80800000000000005</c:v>
                </c:pt>
                <c:pt idx="3">
                  <c:v>0.86199999999999999</c:v>
                </c:pt>
                <c:pt idx="4">
                  <c:v>0.8</c:v>
                </c:pt>
              </c:numCache>
            </c:numRef>
          </c:val>
          <c:extLst>
            <c:ext xmlns:c16="http://schemas.microsoft.com/office/drawing/2014/chart" uri="{C3380CC4-5D6E-409C-BE32-E72D297353CC}">
              <c16:uniqueId val="{00000001-47E1-4A87-A796-9D18EBA9A26F}"/>
            </c:ext>
          </c:extLst>
        </c:ser>
        <c:dLbls>
          <c:dLblPos val="outEnd"/>
          <c:showLegendKey val="0"/>
          <c:showVal val="1"/>
          <c:showCatName val="0"/>
          <c:showSerName val="0"/>
          <c:showPercent val="0"/>
          <c:showBubbleSize val="0"/>
        </c:dLbls>
        <c:gapWidth val="219"/>
        <c:overlap val="-27"/>
        <c:axId val="571240975"/>
        <c:axId val="571244335"/>
        <c:extLst>
          <c:ext xmlns:c15="http://schemas.microsoft.com/office/drawing/2012/chart" uri="{02D57815-91ED-43cb-92C2-25804820EDAC}">
            <c15:filteredBarSeries>
              <c15:ser>
                <c:idx val="2"/>
                <c:order val="2"/>
                <c:tx>
                  <c:strRef>
                    <c:extLst>
                      <c:ext uri="{02D57815-91ED-43cb-92C2-25804820EDAC}">
                        <c15:formulaRef>
                          <c15:sqref>'[2025 m. kriterijai.xlsx]Lapas1'!$D$61:$D$63</c15:sqref>
                        </c15:formulaRef>
                      </c:ext>
                    </c:extLst>
                    <c:strCache>
                      <c:ptCount val="3"/>
                      <c:pt idx="1">
                        <c:v>2025 m.</c:v>
                      </c:pt>
                      <c:pt idx="2">
                        <c:v>Sutinku</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'[2025 m. kriterijai.xlsx]Lapas1'!$A$64:$A$68</c15:sqref>
                        </c15:formulaRef>
                      </c:ext>
                    </c:extLst>
                    <c:strCache>
                      <c:ptCount val="5"/>
                      <c:pt idx="0">
                        <c:v>Savirealizacija</c:v>
                      </c:pt>
                      <c:pt idx="1">
                        <c:v>Soc. ryšiai</c:v>
                      </c:pt>
                      <c:pt idx="2">
                        <c:v>Saugumas</c:v>
                      </c:pt>
                      <c:pt idx="3">
                        <c:v>Gerbuvis</c:v>
                      </c:pt>
                      <c:pt idx="4">
                        <c:v>Sveikata</c:v>
                      </c:pt>
                    </c:strCache>
                  </c:strRef>
                </c:cat>
                <c:val>
                  <c:numRef>
                    <c:extLst>
                      <c:ext uri="{02D57815-91ED-43cb-92C2-25804820EDAC}">
                        <c15:formulaRef>
                          <c15:sqref>'[2025 m. kriterijai.xlsx]Lapas1'!$D$64:$D$68</c15:sqref>
                        </c15:formulaRef>
                      </c:ext>
                    </c:extLst>
                    <c:numCache>
                      <c:formatCode>General</c:formatCode>
                      <c:ptCount val="5"/>
                    </c:numCache>
                  </c:numRef>
                </c:val>
                <c:extLst>
                  <c:ext xmlns:c16="http://schemas.microsoft.com/office/drawing/2014/chart" uri="{C3380CC4-5D6E-409C-BE32-E72D297353CC}">
                    <c16:uniqueId val="{00000002-47E1-4A87-A796-9D18EBA9A26F}"/>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'[2025 m. kriterijai.xlsx]Lapas1'!$E$61:$E$63</c15:sqref>
                        </c15:formulaRef>
                      </c:ext>
                    </c:extLst>
                    <c:strCache>
                      <c:ptCount val="3"/>
                      <c:pt idx="1">
                        <c:v>2025 m.</c:v>
                      </c:pt>
                      <c:pt idx="2">
                        <c:v>Sutinku</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'[2025 m. kriterijai.xlsx]Lapas1'!$A$64:$A$68</c15:sqref>
                        </c15:formulaRef>
                      </c:ext>
                    </c:extLst>
                    <c:strCache>
                      <c:ptCount val="5"/>
                      <c:pt idx="0">
                        <c:v>Savirealizacija</c:v>
                      </c:pt>
                      <c:pt idx="1">
                        <c:v>Soc. ryšiai</c:v>
                      </c:pt>
                      <c:pt idx="2">
                        <c:v>Saugumas</c:v>
                      </c:pt>
                      <c:pt idx="3">
                        <c:v>Gerbuvis</c:v>
                      </c:pt>
                      <c:pt idx="4">
                        <c:v>Sveikata</c:v>
                      </c:pt>
                    </c:strCache>
                  </c:strRef>
                </c:cat>
                <c:val>
                  <c:numRef>
                    <c:extLst xmlns:c15="http://schemas.microsoft.com/office/drawing/2012/chart">
                      <c:ext xmlns:c15="http://schemas.microsoft.com/office/drawing/2012/chart" uri="{02D57815-91ED-43cb-92C2-25804820EDAC}">
                        <c15:formulaRef>
                          <c15:sqref>'[2025 m. kriterijai.xlsx]Lapas1'!$E$64:$E$68</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3-47E1-4A87-A796-9D18EBA9A26F}"/>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'[2025 m. kriterijai.xlsx]Lapas1'!$F$61:$F$63</c15:sqref>
                        </c15:formulaRef>
                      </c:ext>
                    </c:extLst>
                    <c:strCache>
                      <c:ptCount val="3"/>
                      <c:pt idx="1">
                        <c:v>2025 m.</c:v>
                      </c:pt>
                      <c:pt idx="2">
                        <c:v>Sutinku</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'[2025 m. kriterijai.xlsx]Lapas1'!$A$64:$A$68</c15:sqref>
                        </c15:formulaRef>
                      </c:ext>
                    </c:extLst>
                    <c:strCache>
                      <c:ptCount val="5"/>
                      <c:pt idx="0">
                        <c:v>Savirealizacija</c:v>
                      </c:pt>
                      <c:pt idx="1">
                        <c:v>Soc. ryšiai</c:v>
                      </c:pt>
                      <c:pt idx="2">
                        <c:v>Saugumas</c:v>
                      </c:pt>
                      <c:pt idx="3">
                        <c:v>Gerbuvis</c:v>
                      </c:pt>
                      <c:pt idx="4">
                        <c:v>Sveikata</c:v>
                      </c:pt>
                    </c:strCache>
                  </c:strRef>
                </c:cat>
                <c:val>
                  <c:numRef>
                    <c:extLst xmlns:c15="http://schemas.microsoft.com/office/drawing/2012/chart">
                      <c:ext xmlns:c15="http://schemas.microsoft.com/office/drawing/2012/chart" uri="{02D57815-91ED-43cb-92C2-25804820EDAC}">
                        <c15:formulaRef>
                          <c15:sqref>'[2025 m. kriterijai.xlsx]Lapas1'!$F$64:$F$68</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4-47E1-4A87-A796-9D18EBA9A26F}"/>
                  </c:ext>
                </c:extLst>
              </c15:ser>
            </c15:filteredBarSeries>
          </c:ext>
        </c:extLst>
      </c:barChart>
      <c:catAx>
        <c:axId val="5712409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571244335"/>
        <c:crosses val="autoZero"/>
        <c:auto val="1"/>
        <c:lblAlgn val="ctr"/>
        <c:lblOffset val="100"/>
        <c:noMultiLvlLbl val="0"/>
      </c:catAx>
      <c:valAx>
        <c:axId val="57124433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5712409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r>
              <a:rPr lang="lt-LT" sz="1200" b="1"/>
              <a:t>Gyvenimo kokybės sričių vertinimas 2025 m.</a:t>
            </a:r>
          </a:p>
        </c:rich>
      </c:tx>
      <c:overlay val="0"/>
      <c:spPr>
        <a:noFill/>
        <a:ln>
          <a:noFill/>
        </a:ln>
        <a:effectLst/>
      </c:spPr>
    </c:title>
    <c:autoTitleDeleted val="0"/>
    <c:plotArea>
      <c:layout>
        <c:manualLayout>
          <c:layoutTarget val="inner"/>
          <c:xMode val="edge"/>
          <c:yMode val="edge"/>
          <c:x val="0.15179125193714652"/>
          <c:y val="0.14762189054726368"/>
          <c:w val="0.79216179773797402"/>
          <c:h val="0.56153876287852078"/>
        </c:manualLayout>
      </c:layout>
      <c:barChart>
        <c:barDir val="bar"/>
        <c:grouping val="clustered"/>
        <c:varyColors val="0"/>
        <c:ser>
          <c:idx val="0"/>
          <c:order val="0"/>
          <c:tx>
            <c:strRef>
              <c:f>'2024 metai'!$B$34</c:f>
              <c:strCache>
                <c:ptCount val="1"/>
                <c:pt idx="0">
                  <c:v>Nesutinku (proc)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'2024 metai'!$A$35:$A$39</c:f>
              <c:strCache>
                <c:ptCount val="5"/>
                <c:pt idx="0">
                  <c:v>Sveikata </c:v>
                </c:pt>
                <c:pt idx="1">
                  <c:v>Gerbūvis</c:v>
                </c:pt>
                <c:pt idx="2">
                  <c:v>Saugumas</c:v>
                </c:pt>
                <c:pt idx="3">
                  <c:v>Socialiniai ryšiai</c:v>
                </c:pt>
                <c:pt idx="4">
                  <c:v>Savirealizacija</c:v>
                </c:pt>
              </c:strCache>
            </c:strRef>
          </c:cat>
          <c:val>
            <c:numRef>
              <c:f>'2024 metai'!$B$35:$B$39</c:f>
              <c:numCache>
                <c:formatCode>0.00%</c:formatCode>
                <c:ptCount val="5"/>
                <c:pt idx="0">
                  <c:v>0.02</c:v>
                </c:pt>
                <c:pt idx="1">
                  <c:v>0</c:v>
                </c:pt>
                <c:pt idx="2">
                  <c:v>0</c:v>
                </c:pt>
                <c:pt idx="3">
                  <c:v>0.04</c:v>
                </c:pt>
                <c:pt idx="4">
                  <c:v>0</c:v>
                </c:pt>
              </c:numCache>
            </c:numRef>
          </c:val>
          <c:extLst>
            <c:ext xmlns:c16="http://schemas.microsoft.com/office/drawing/2014/chart" uri="{C3380CC4-5D6E-409C-BE32-E72D297353CC}">
              <c16:uniqueId val="{00000000-6A7C-42CA-986F-EDC4C2B3AF67}"/>
            </c:ext>
          </c:extLst>
        </c:ser>
        <c:ser>
          <c:idx val="1"/>
          <c:order val="1"/>
          <c:tx>
            <c:strRef>
              <c:f>'2024 metai'!$C$34</c:f>
              <c:strCache>
                <c:ptCount val="1"/>
                <c:pt idx="0">
                  <c:v>Nei sutinku, nei nesutinku (proc)</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'2024 metai'!$A$35:$A$39</c:f>
              <c:strCache>
                <c:ptCount val="5"/>
                <c:pt idx="0">
                  <c:v>Sveikata </c:v>
                </c:pt>
                <c:pt idx="1">
                  <c:v>Gerbūvis</c:v>
                </c:pt>
                <c:pt idx="2">
                  <c:v>Saugumas</c:v>
                </c:pt>
                <c:pt idx="3">
                  <c:v>Socialiniai ryšiai</c:v>
                </c:pt>
                <c:pt idx="4">
                  <c:v>Savirealizacija</c:v>
                </c:pt>
              </c:strCache>
            </c:strRef>
          </c:cat>
          <c:val>
            <c:numRef>
              <c:f>'2024 metai'!$C$35:$C$39</c:f>
              <c:numCache>
                <c:formatCode>0.00%</c:formatCode>
                <c:ptCount val="5"/>
                <c:pt idx="0">
                  <c:v>0.14000000000000001</c:v>
                </c:pt>
                <c:pt idx="1">
                  <c:v>0.16800000000000001</c:v>
                </c:pt>
                <c:pt idx="2">
                  <c:v>0.11</c:v>
                </c:pt>
                <c:pt idx="3">
                  <c:v>0.13</c:v>
                </c:pt>
                <c:pt idx="4">
                  <c:v>0.13500000000000001</c:v>
                </c:pt>
              </c:numCache>
            </c:numRef>
          </c:val>
          <c:extLst>
            <c:ext xmlns:c16="http://schemas.microsoft.com/office/drawing/2014/chart" uri="{C3380CC4-5D6E-409C-BE32-E72D297353CC}">
              <c16:uniqueId val="{00000001-6A7C-42CA-986F-EDC4C2B3AF67}"/>
            </c:ext>
          </c:extLst>
        </c:ser>
        <c:ser>
          <c:idx val="2"/>
          <c:order val="2"/>
          <c:tx>
            <c:strRef>
              <c:f>'2024 metai'!$D$34</c:f>
              <c:strCache>
                <c:ptCount val="1"/>
                <c:pt idx="0">
                  <c:v>Sutinku (proc)</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'2024 metai'!$A$35:$A$39</c:f>
              <c:strCache>
                <c:ptCount val="5"/>
                <c:pt idx="0">
                  <c:v>Sveikata </c:v>
                </c:pt>
                <c:pt idx="1">
                  <c:v>Gerbūvis</c:v>
                </c:pt>
                <c:pt idx="2">
                  <c:v>Saugumas</c:v>
                </c:pt>
                <c:pt idx="3">
                  <c:v>Socialiniai ryšiai</c:v>
                </c:pt>
                <c:pt idx="4">
                  <c:v>Savirealizacija</c:v>
                </c:pt>
              </c:strCache>
            </c:strRef>
          </c:cat>
          <c:val>
            <c:numRef>
              <c:f>'2024 metai'!$D$35:$D$39</c:f>
              <c:numCache>
                <c:formatCode>0.00%</c:formatCode>
                <c:ptCount val="5"/>
                <c:pt idx="0">
                  <c:v>0.84</c:v>
                </c:pt>
                <c:pt idx="1">
                  <c:v>0.83199999999999996</c:v>
                </c:pt>
                <c:pt idx="2">
                  <c:v>0.89</c:v>
                </c:pt>
                <c:pt idx="3">
                  <c:v>0.83</c:v>
                </c:pt>
                <c:pt idx="4">
                  <c:v>0.86499999999999999</c:v>
                </c:pt>
              </c:numCache>
            </c:numRef>
          </c:val>
          <c:extLst>
            <c:ext xmlns:c16="http://schemas.microsoft.com/office/drawing/2014/chart" uri="{C3380CC4-5D6E-409C-BE32-E72D297353CC}">
              <c16:uniqueId val="{00000002-6A7C-42CA-986F-EDC4C2B3AF67}"/>
            </c:ext>
          </c:extLst>
        </c:ser>
        <c:dLbls>
          <c:dLblPos val="outEnd"/>
          <c:showLegendKey val="0"/>
          <c:showVal val="1"/>
          <c:showCatName val="0"/>
          <c:showSerName val="0"/>
          <c:showPercent val="0"/>
          <c:showBubbleSize val="0"/>
        </c:dLbls>
        <c:gapWidth val="182"/>
        <c:axId val="415726208"/>
        <c:axId val="415748480"/>
      </c:barChart>
      <c:catAx>
        <c:axId val="415726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15748480"/>
        <c:crosses val="autoZero"/>
        <c:auto val="1"/>
        <c:lblAlgn val="ctr"/>
        <c:lblOffset val="100"/>
        <c:noMultiLvlLbl val="0"/>
      </c:catAx>
      <c:valAx>
        <c:axId val="4157484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15726208"/>
        <c:crosses val="autoZero"/>
        <c:crossBetween val="between"/>
      </c:valAx>
      <c:spPr>
        <a:noFill/>
        <a:ln>
          <a:noFill/>
        </a:ln>
        <a:effectLst/>
      </c:spPr>
    </c:plotArea>
    <c:legend>
      <c:legendPos val="b"/>
      <c:layout>
        <c:manualLayout>
          <c:xMode val="edge"/>
          <c:yMode val="edge"/>
          <c:x val="0.17174101403327519"/>
          <c:y val="0.83053638429424514"/>
          <c:w val="0.65651780689434358"/>
          <c:h val="0.111298067607320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a:t>Paslaug</a:t>
            </a:r>
            <a:r>
              <a:rPr lang="lt-LT" sz="1200" b="1"/>
              <a:t>ų</a:t>
            </a:r>
            <a:r>
              <a:rPr lang="en-US" sz="1200" b="1"/>
              <a:t> gav</a:t>
            </a:r>
            <a:r>
              <a:rPr lang="lt-LT" sz="1200" b="1"/>
              <a:t>ė</a:t>
            </a:r>
            <a:r>
              <a:rPr lang="en-US" sz="1200" b="1"/>
              <a:t>j</a:t>
            </a:r>
            <a:r>
              <a:rPr lang="lt-LT" sz="1200" b="1"/>
              <a:t>ų</a:t>
            </a:r>
            <a:r>
              <a:rPr lang="en-US" sz="1200" b="1"/>
              <a:t> </a:t>
            </a:r>
            <a:r>
              <a:rPr lang="lt-LT" sz="1200" b="1"/>
              <a:t>į</a:t>
            </a:r>
            <a:r>
              <a:rPr lang="en-US" sz="1200" b="1"/>
              <a:t>traukimo</a:t>
            </a:r>
            <a:r>
              <a:rPr lang="lt-LT" sz="1200" b="1"/>
              <a:t> į ISGP palyginimas</a:t>
            </a:r>
            <a:r>
              <a:rPr lang="en-US" sz="1200" b="1"/>
              <a:t> 2024-2025 metais</a:t>
            </a:r>
          </a:p>
          <a:p>
            <a:pPr>
              <a:defRPr/>
            </a:pPr>
            <a:r>
              <a:rPr lang="lt-LT" sz="1200" b="1"/>
              <a:t>  </a:t>
            </a:r>
            <a:r>
              <a:rPr lang="en-US" sz="1200" b="1"/>
              <a:t> </a:t>
            </a:r>
            <a:endParaRPr lang="lt-LT" sz="12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t-LT"/>
        </a:p>
      </c:txPr>
    </c:title>
    <c:autoTitleDeleted val="0"/>
    <c:plotArea>
      <c:layout>
        <c:manualLayout>
          <c:layoutTarget val="inner"/>
          <c:xMode val="edge"/>
          <c:yMode val="edge"/>
          <c:x val="0.12384492563429571"/>
          <c:y val="0.16041666666666668"/>
          <c:w val="0.53266338582677164"/>
          <c:h val="0.65923557427661972"/>
        </c:manualLayout>
      </c:layout>
      <c:barChart>
        <c:barDir val="bar"/>
        <c:grouping val="stacked"/>
        <c:varyColors val="0"/>
        <c:ser>
          <c:idx val="0"/>
          <c:order val="0"/>
          <c:tx>
            <c:strRef>
              <c:f>Lapas1!$A$3</c:f>
              <c:strCache>
                <c:ptCount val="1"/>
                <c:pt idx="0">
                  <c:v>Bendras gyventojų skaičius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Lapas1!$B$1:$E$2</c:f>
              <c:strCache>
                <c:ptCount val="2"/>
                <c:pt idx="0">
                  <c:v>2025 m.</c:v>
                </c:pt>
                <c:pt idx="1">
                  <c:v>2024 m.</c:v>
                </c:pt>
              </c:strCache>
              <c:extLst/>
            </c:strRef>
          </c:cat>
          <c:val>
            <c:numRef>
              <c:f>Lapas1!$B$3:$C$3</c:f>
              <c:numCache>
                <c:formatCode>General</c:formatCode>
                <c:ptCount val="2"/>
                <c:pt idx="0">
                  <c:v>47</c:v>
                </c:pt>
                <c:pt idx="1">
                  <c:v>49</c:v>
                </c:pt>
              </c:numCache>
              <c:extLst/>
            </c:numRef>
          </c:val>
          <c:extLst>
            <c:ext xmlns:c16="http://schemas.microsoft.com/office/drawing/2014/chart" uri="{C3380CC4-5D6E-409C-BE32-E72D297353CC}">
              <c16:uniqueId val="{00000000-3E5A-41CE-9263-595C4F54B6F2}"/>
            </c:ext>
          </c:extLst>
        </c:ser>
        <c:ser>
          <c:idx val="1"/>
          <c:order val="1"/>
          <c:tx>
            <c:strRef>
              <c:f>Lapas1!$A$4</c:f>
              <c:strCache>
                <c:ptCount val="1"/>
                <c:pt idx="0">
                  <c:v>Iškėlusių savo tikslus procentas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Lapas1!$B$1:$E$2</c:f>
              <c:strCache>
                <c:ptCount val="2"/>
                <c:pt idx="0">
                  <c:v>2025 m.</c:v>
                </c:pt>
                <c:pt idx="1">
                  <c:v>2024 m.</c:v>
                </c:pt>
              </c:strCache>
              <c:extLst/>
            </c:strRef>
          </c:cat>
          <c:val>
            <c:numRef>
              <c:f>Lapas1!$B$4:$C$4</c:f>
              <c:numCache>
                <c:formatCode>0.00%</c:formatCode>
                <c:ptCount val="2"/>
                <c:pt idx="0">
                  <c:v>0.46810000000000002</c:v>
                </c:pt>
                <c:pt idx="1">
                  <c:v>0.22450000000000001</c:v>
                </c:pt>
              </c:numCache>
              <c:extLst/>
            </c:numRef>
          </c:val>
          <c:extLst>
            <c:ext xmlns:c16="http://schemas.microsoft.com/office/drawing/2014/chart" uri="{C3380CC4-5D6E-409C-BE32-E72D297353CC}">
              <c16:uniqueId val="{00000001-3E5A-41CE-9263-595C4F54B6F2}"/>
            </c:ext>
          </c:extLst>
        </c:ser>
        <c:dLbls>
          <c:dLblPos val="ctr"/>
          <c:showLegendKey val="0"/>
          <c:showVal val="1"/>
          <c:showCatName val="0"/>
          <c:showSerName val="0"/>
          <c:showPercent val="0"/>
          <c:showBubbleSize val="0"/>
        </c:dLbls>
        <c:gapWidth val="182"/>
        <c:overlap val="100"/>
        <c:axId val="142595983"/>
        <c:axId val="410647631"/>
      </c:barChart>
      <c:catAx>
        <c:axId val="14259598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10647631"/>
        <c:crosses val="autoZero"/>
        <c:auto val="1"/>
        <c:lblAlgn val="ctr"/>
        <c:lblOffset val="100"/>
        <c:noMultiLvlLbl val="0"/>
      </c:catAx>
      <c:valAx>
        <c:axId val="410647631"/>
        <c:scaling>
          <c:orientation val="minMax"/>
        </c:scaling>
        <c:delete val="1"/>
        <c:axPos val="b"/>
        <c:numFmt formatCode="General" sourceLinked="1"/>
        <c:majorTickMark val="none"/>
        <c:minorTickMark val="none"/>
        <c:tickLblPos val="nextTo"/>
        <c:crossAx val="142595983"/>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t-LT" sz="1200" b="1"/>
              <a:t>Paslaugų teikimo tęstinumo užtikrinimas hospitalizuotiems</a:t>
            </a:r>
            <a:r>
              <a:rPr lang="lt-LT" sz="1200" b="1" baseline="0"/>
              <a:t> gyventojams, proc. </a:t>
            </a:r>
          </a:p>
        </c:rich>
      </c:tx>
      <c:layout>
        <c:manualLayout>
          <c:xMode val="edge"/>
          <c:yMode val="edge"/>
          <c:x val="0.14607457277303332"/>
          <c:y val="4.2900042900042901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Lapas1!$B$1</c:f>
              <c:strCache>
                <c:ptCount val="1"/>
                <c:pt idx="0">
                  <c:v>Tęstinių paslaugų vienam hospitalizacijos atvejui suteikimo procentinė išraiška</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7C68-4384-8D9C-E5EA3AB4712C}"/>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7C68-4384-8D9C-E5EA3AB4712C}"/>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Lapas1!$A$2:$A$3</c:f>
              <c:strCache>
                <c:ptCount val="2"/>
                <c:pt idx="0">
                  <c:v>Suteiktos tęstinės paslaugos</c:v>
                </c:pt>
                <c:pt idx="1">
                  <c:v>Nesuteiktos tęstinės paslaugos</c:v>
                </c:pt>
              </c:strCache>
            </c:strRef>
          </c:cat>
          <c:val>
            <c:numRef>
              <c:f>Lapas1!$B$2:$B$3</c:f>
              <c:numCache>
                <c:formatCode>General</c:formatCode>
                <c:ptCount val="2"/>
                <c:pt idx="0">
                  <c:v>86.67</c:v>
                </c:pt>
                <c:pt idx="1">
                  <c:v>13.33</c:v>
                </c:pt>
              </c:numCache>
            </c:numRef>
          </c:val>
          <c:extLst>
            <c:ext xmlns:c16="http://schemas.microsoft.com/office/drawing/2014/chart" uri="{C3380CC4-5D6E-409C-BE32-E72D297353CC}">
              <c16:uniqueId val="{00000004-7C68-4384-8D9C-E5EA3AB4712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lt-LT" sz="1200" b="1"/>
              <a:t>Gyvenimo kokybės 2024- 2025 m. rezultatų palyginimas</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lt-LT"/>
        </a:p>
      </c:txPr>
    </c:title>
    <c:autoTitleDeleted val="0"/>
    <c:plotArea>
      <c:layout/>
      <c:barChart>
        <c:barDir val="bar"/>
        <c:grouping val="stacked"/>
        <c:varyColors val="0"/>
        <c:ser>
          <c:idx val="0"/>
          <c:order val="0"/>
          <c:tx>
            <c:strRef>
              <c:f>'[43 Kriterijus 2024- 2025 m..xlsx]Lapas1'!$B$2:$B$3</c:f>
              <c:strCache>
                <c:ptCount val="2"/>
                <c:pt idx="0">
                  <c:v>2024 m.</c:v>
                </c:pt>
                <c:pt idx="1">
                  <c:v>Sutinku</c:v>
                </c:pt>
              </c:strCache>
            </c:strRef>
          </c:tx>
          <c:spPr>
            <a:solidFill>
              <a:schemeClr val="accent4">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'[43 Kriterijus 2024- 2025 m..xlsx]Lapas1'!$A$4:$A$8</c:f>
              <c:strCache>
                <c:ptCount val="5"/>
                <c:pt idx="0">
                  <c:v>Savirealizacija</c:v>
                </c:pt>
                <c:pt idx="1">
                  <c:v>Socialiniai ryšiai</c:v>
                </c:pt>
                <c:pt idx="2">
                  <c:v>Saugumas</c:v>
                </c:pt>
                <c:pt idx="3">
                  <c:v>Gerbūvis</c:v>
                </c:pt>
                <c:pt idx="4">
                  <c:v>Sveikata</c:v>
                </c:pt>
              </c:strCache>
            </c:strRef>
          </c:cat>
          <c:val>
            <c:numRef>
              <c:f>'[43 Kriterijus 2024- 2025 m..xlsx]Lapas1'!$B$4:$B$8</c:f>
              <c:numCache>
                <c:formatCode>0%</c:formatCode>
                <c:ptCount val="5"/>
                <c:pt idx="0">
                  <c:v>0.92</c:v>
                </c:pt>
                <c:pt idx="1">
                  <c:v>0.92</c:v>
                </c:pt>
                <c:pt idx="2">
                  <c:v>0.93</c:v>
                </c:pt>
                <c:pt idx="3">
                  <c:v>0.93</c:v>
                </c:pt>
                <c:pt idx="4">
                  <c:v>0.88</c:v>
                </c:pt>
              </c:numCache>
            </c:numRef>
          </c:val>
          <c:extLst>
            <c:ext xmlns:c16="http://schemas.microsoft.com/office/drawing/2014/chart" uri="{C3380CC4-5D6E-409C-BE32-E72D297353CC}">
              <c16:uniqueId val="{00000000-03BA-4F66-AFCF-3448BC74B8E8}"/>
            </c:ext>
          </c:extLst>
        </c:ser>
        <c:ser>
          <c:idx val="1"/>
          <c:order val="1"/>
          <c:tx>
            <c:strRef>
              <c:f>'[43 Kriterijus 2024- 2025 m..xlsx]Lapas1'!$C$2:$C$3</c:f>
              <c:strCache>
                <c:ptCount val="2"/>
                <c:pt idx="0">
                  <c:v>2025 m.</c:v>
                </c:pt>
                <c:pt idx="1">
                  <c:v>Sutinku</c:v>
                </c:pt>
              </c:strCache>
            </c:strRef>
          </c:tx>
          <c:spPr>
            <a:solidFill>
              <a:schemeClr val="accent4">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'[43 Kriterijus 2024- 2025 m..xlsx]Lapas1'!$A$4:$A$8</c:f>
              <c:strCache>
                <c:ptCount val="5"/>
                <c:pt idx="0">
                  <c:v>Savirealizacija</c:v>
                </c:pt>
                <c:pt idx="1">
                  <c:v>Socialiniai ryšiai</c:v>
                </c:pt>
                <c:pt idx="2">
                  <c:v>Saugumas</c:v>
                </c:pt>
                <c:pt idx="3">
                  <c:v>Gerbūvis</c:v>
                </c:pt>
                <c:pt idx="4">
                  <c:v>Sveikata</c:v>
                </c:pt>
              </c:strCache>
            </c:strRef>
          </c:cat>
          <c:val>
            <c:numRef>
              <c:f>'[43 Kriterijus 2024- 2025 m..xlsx]Lapas1'!$C$4:$C$8</c:f>
              <c:numCache>
                <c:formatCode>0%</c:formatCode>
                <c:ptCount val="5"/>
                <c:pt idx="0">
                  <c:v>0.89</c:v>
                </c:pt>
                <c:pt idx="1">
                  <c:v>0.81499999999999995</c:v>
                </c:pt>
                <c:pt idx="2">
                  <c:v>0.80800000000000005</c:v>
                </c:pt>
                <c:pt idx="3">
                  <c:v>0.86199999999999999</c:v>
                </c:pt>
                <c:pt idx="4">
                  <c:v>0.8</c:v>
                </c:pt>
              </c:numCache>
            </c:numRef>
          </c:val>
          <c:extLst>
            <c:ext xmlns:c16="http://schemas.microsoft.com/office/drawing/2014/chart" uri="{C3380CC4-5D6E-409C-BE32-E72D297353CC}">
              <c16:uniqueId val="{00000001-03BA-4F66-AFCF-3448BC74B8E8}"/>
            </c:ext>
          </c:extLst>
        </c:ser>
        <c:dLbls>
          <c:dLblPos val="ctr"/>
          <c:showLegendKey val="0"/>
          <c:showVal val="1"/>
          <c:showCatName val="0"/>
          <c:showSerName val="0"/>
          <c:showPercent val="0"/>
          <c:showBubbleSize val="0"/>
        </c:dLbls>
        <c:gapWidth val="150"/>
        <c:overlap val="100"/>
        <c:axId val="530148207"/>
        <c:axId val="530147247"/>
      </c:barChart>
      <c:catAx>
        <c:axId val="5301482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530147247"/>
        <c:crosses val="autoZero"/>
        <c:auto val="1"/>
        <c:lblAlgn val="ctr"/>
        <c:lblOffset val="100"/>
        <c:noMultiLvlLbl val="0"/>
      </c:catAx>
      <c:valAx>
        <c:axId val="5301472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5301482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t-LT" sz="1200" b="1"/>
              <a:t>Pirmojo paslaugų gavėjo gyvenimo kokybės pokytis per  2024 m. - 2025 m. </a:t>
            </a:r>
          </a:p>
        </c:rich>
      </c:tx>
      <c:layout>
        <c:manualLayout>
          <c:xMode val="edge"/>
          <c:yMode val="edge"/>
          <c:x val="9.3006780402449682E-2"/>
          <c:y val="1.388888888888888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t-LT"/>
        </a:p>
      </c:txPr>
    </c:title>
    <c:autoTitleDeleted val="0"/>
    <c:plotArea>
      <c:layout>
        <c:manualLayout>
          <c:layoutTarget val="inner"/>
          <c:xMode val="edge"/>
          <c:yMode val="edge"/>
          <c:x val="5.3914260717410324E-2"/>
          <c:y val="0.18259259259259258"/>
          <c:w val="0.9155301837270341"/>
          <c:h val="0.55529017206182563"/>
        </c:manualLayout>
      </c:layout>
      <c:barChart>
        <c:barDir val="col"/>
        <c:grouping val="clustered"/>
        <c:varyColors val="0"/>
        <c:ser>
          <c:idx val="0"/>
          <c:order val="0"/>
          <c:tx>
            <c:strRef>
              <c:f>Lapas1!$A$4</c:f>
              <c:strCache>
                <c:ptCount val="1"/>
                <c:pt idx="0">
                  <c:v>Sveikata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Lapas1!$B$2:$E$3</c:f>
              <c:multiLvlStrCache>
                <c:ptCount val="4"/>
                <c:lvl>
                  <c:pt idx="0">
                    <c:v>Sutinku </c:v>
                  </c:pt>
                  <c:pt idx="1">
                    <c:v>Nesutinku</c:v>
                  </c:pt>
                  <c:pt idx="2">
                    <c:v>Sutinku </c:v>
                  </c:pt>
                  <c:pt idx="3">
                    <c:v>Nesutinku</c:v>
                  </c:pt>
                </c:lvl>
                <c:lvl>
                  <c:pt idx="0">
                    <c:v>2024 m.</c:v>
                  </c:pt>
                  <c:pt idx="2">
                    <c:v>2025 m. </c:v>
                  </c:pt>
                </c:lvl>
              </c:multiLvlStrCache>
            </c:multiLvlStrRef>
          </c:cat>
          <c:val>
            <c:numRef>
              <c:f>Lapas1!$B$4:$E$4</c:f>
              <c:numCache>
                <c:formatCode>General</c:formatCode>
                <c:ptCount val="4"/>
                <c:pt idx="0">
                  <c:v>3</c:v>
                </c:pt>
                <c:pt idx="2">
                  <c:v>2</c:v>
                </c:pt>
                <c:pt idx="3">
                  <c:v>1</c:v>
                </c:pt>
              </c:numCache>
            </c:numRef>
          </c:val>
          <c:extLst>
            <c:ext xmlns:c16="http://schemas.microsoft.com/office/drawing/2014/chart" uri="{C3380CC4-5D6E-409C-BE32-E72D297353CC}">
              <c16:uniqueId val="{00000000-29C0-4679-8B3C-BB39366ADDFC}"/>
            </c:ext>
          </c:extLst>
        </c:ser>
        <c:ser>
          <c:idx val="1"/>
          <c:order val="1"/>
          <c:tx>
            <c:strRef>
              <c:f>Lapas1!$A$5</c:f>
              <c:strCache>
                <c:ptCount val="1"/>
                <c:pt idx="0">
                  <c:v>Gerbūvis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Lapas1!$B$2:$E$3</c:f>
              <c:multiLvlStrCache>
                <c:ptCount val="4"/>
                <c:lvl>
                  <c:pt idx="0">
                    <c:v>Sutinku </c:v>
                  </c:pt>
                  <c:pt idx="1">
                    <c:v>Nesutinku</c:v>
                  </c:pt>
                  <c:pt idx="2">
                    <c:v>Sutinku </c:v>
                  </c:pt>
                  <c:pt idx="3">
                    <c:v>Nesutinku</c:v>
                  </c:pt>
                </c:lvl>
                <c:lvl>
                  <c:pt idx="0">
                    <c:v>2024 m.</c:v>
                  </c:pt>
                  <c:pt idx="2">
                    <c:v>2025 m. </c:v>
                  </c:pt>
                </c:lvl>
              </c:multiLvlStrCache>
            </c:multiLvlStrRef>
          </c:cat>
          <c:val>
            <c:numRef>
              <c:f>Lapas1!$B$5:$E$5</c:f>
              <c:numCache>
                <c:formatCode>General</c:formatCode>
                <c:ptCount val="4"/>
                <c:pt idx="0">
                  <c:v>3</c:v>
                </c:pt>
                <c:pt idx="1">
                  <c:v>2</c:v>
                </c:pt>
                <c:pt idx="2">
                  <c:v>4</c:v>
                </c:pt>
                <c:pt idx="3">
                  <c:v>1</c:v>
                </c:pt>
              </c:numCache>
            </c:numRef>
          </c:val>
          <c:extLst>
            <c:ext xmlns:c16="http://schemas.microsoft.com/office/drawing/2014/chart" uri="{C3380CC4-5D6E-409C-BE32-E72D297353CC}">
              <c16:uniqueId val="{00000001-29C0-4679-8B3C-BB39366ADDFC}"/>
            </c:ext>
          </c:extLst>
        </c:ser>
        <c:ser>
          <c:idx val="2"/>
          <c:order val="2"/>
          <c:tx>
            <c:strRef>
              <c:f>Lapas1!$A$6</c:f>
              <c:strCache>
                <c:ptCount val="1"/>
                <c:pt idx="0">
                  <c:v>Saugumas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Lapas1!$B$2:$E$3</c:f>
              <c:multiLvlStrCache>
                <c:ptCount val="4"/>
                <c:lvl>
                  <c:pt idx="0">
                    <c:v>Sutinku </c:v>
                  </c:pt>
                  <c:pt idx="1">
                    <c:v>Nesutinku</c:v>
                  </c:pt>
                  <c:pt idx="2">
                    <c:v>Sutinku </c:v>
                  </c:pt>
                  <c:pt idx="3">
                    <c:v>Nesutinku</c:v>
                  </c:pt>
                </c:lvl>
                <c:lvl>
                  <c:pt idx="0">
                    <c:v>2024 m.</c:v>
                  </c:pt>
                  <c:pt idx="2">
                    <c:v>2025 m. </c:v>
                  </c:pt>
                </c:lvl>
              </c:multiLvlStrCache>
            </c:multiLvlStrRef>
          </c:cat>
          <c:val>
            <c:numRef>
              <c:f>Lapas1!$B$6:$E$6</c:f>
              <c:numCache>
                <c:formatCode>General</c:formatCode>
                <c:ptCount val="4"/>
                <c:pt idx="0">
                  <c:v>4</c:v>
                </c:pt>
                <c:pt idx="1">
                  <c:v>4</c:v>
                </c:pt>
                <c:pt idx="2">
                  <c:v>5</c:v>
                </c:pt>
                <c:pt idx="3">
                  <c:v>3</c:v>
                </c:pt>
              </c:numCache>
            </c:numRef>
          </c:val>
          <c:extLst>
            <c:ext xmlns:c16="http://schemas.microsoft.com/office/drawing/2014/chart" uri="{C3380CC4-5D6E-409C-BE32-E72D297353CC}">
              <c16:uniqueId val="{00000002-29C0-4679-8B3C-BB39366ADDFC}"/>
            </c:ext>
          </c:extLst>
        </c:ser>
        <c:ser>
          <c:idx val="3"/>
          <c:order val="3"/>
          <c:tx>
            <c:strRef>
              <c:f>Lapas1!$A$7</c:f>
              <c:strCache>
                <c:ptCount val="1"/>
                <c:pt idx="0">
                  <c:v>Socialiniai ryšiai</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Lapas1!$B$2:$E$3</c:f>
              <c:multiLvlStrCache>
                <c:ptCount val="4"/>
                <c:lvl>
                  <c:pt idx="0">
                    <c:v>Sutinku </c:v>
                  </c:pt>
                  <c:pt idx="1">
                    <c:v>Nesutinku</c:v>
                  </c:pt>
                  <c:pt idx="2">
                    <c:v>Sutinku </c:v>
                  </c:pt>
                  <c:pt idx="3">
                    <c:v>Nesutinku</c:v>
                  </c:pt>
                </c:lvl>
                <c:lvl>
                  <c:pt idx="0">
                    <c:v>2024 m.</c:v>
                  </c:pt>
                  <c:pt idx="2">
                    <c:v>2025 m. </c:v>
                  </c:pt>
                </c:lvl>
              </c:multiLvlStrCache>
            </c:multiLvlStrRef>
          </c:cat>
          <c:val>
            <c:numRef>
              <c:f>Lapas1!$B$7:$E$7</c:f>
              <c:numCache>
                <c:formatCode>General</c:formatCode>
                <c:ptCount val="4"/>
                <c:pt idx="0">
                  <c:v>5</c:v>
                </c:pt>
                <c:pt idx="2">
                  <c:v>4</c:v>
                </c:pt>
                <c:pt idx="3">
                  <c:v>1</c:v>
                </c:pt>
              </c:numCache>
            </c:numRef>
          </c:val>
          <c:extLst>
            <c:ext xmlns:c16="http://schemas.microsoft.com/office/drawing/2014/chart" uri="{C3380CC4-5D6E-409C-BE32-E72D297353CC}">
              <c16:uniqueId val="{00000003-29C0-4679-8B3C-BB39366ADDFC}"/>
            </c:ext>
          </c:extLst>
        </c:ser>
        <c:ser>
          <c:idx val="4"/>
          <c:order val="4"/>
          <c:tx>
            <c:strRef>
              <c:f>Lapas1!$A$8</c:f>
              <c:strCache>
                <c:ptCount val="1"/>
                <c:pt idx="0">
                  <c:v>Savirealizacija</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Lapas1!$B$2:$E$3</c:f>
              <c:multiLvlStrCache>
                <c:ptCount val="4"/>
                <c:lvl>
                  <c:pt idx="0">
                    <c:v>Sutinku </c:v>
                  </c:pt>
                  <c:pt idx="1">
                    <c:v>Nesutinku</c:v>
                  </c:pt>
                  <c:pt idx="2">
                    <c:v>Sutinku </c:v>
                  </c:pt>
                  <c:pt idx="3">
                    <c:v>Nesutinku</c:v>
                  </c:pt>
                </c:lvl>
                <c:lvl>
                  <c:pt idx="0">
                    <c:v>2024 m.</c:v>
                  </c:pt>
                  <c:pt idx="2">
                    <c:v>2025 m. </c:v>
                  </c:pt>
                </c:lvl>
              </c:multiLvlStrCache>
            </c:multiLvlStrRef>
          </c:cat>
          <c:val>
            <c:numRef>
              <c:f>Lapas1!$B$8:$E$8</c:f>
              <c:numCache>
                <c:formatCode>General</c:formatCode>
                <c:ptCount val="4"/>
                <c:pt idx="0">
                  <c:v>3</c:v>
                </c:pt>
                <c:pt idx="2">
                  <c:v>2</c:v>
                </c:pt>
                <c:pt idx="3">
                  <c:v>1</c:v>
                </c:pt>
              </c:numCache>
            </c:numRef>
          </c:val>
          <c:extLst>
            <c:ext xmlns:c16="http://schemas.microsoft.com/office/drawing/2014/chart" uri="{C3380CC4-5D6E-409C-BE32-E72D297353CC}">
              <c16:uniqueId val="{00000004-29C0-4679-8B3C-BB39366ADDFC}"/>
            </c:ext>
          </c:extLst>
        </c:ser>
        <c:dLbls>
          <c:dLblPos val="outEnd"/>
          <c:showLegendKey val="0"/>
          <c:showVal val="1"/>
          <c:showCatName val="0"/>
          <c:showSerName val="0"/>
          <c:showPercent val="0"/>
          <c:showBubbleSize val="0"/>
        </c:dLbls>
        <c:gapWidth val="219"/>
        <c:overlap val="-27"/>
        <c:axId val="701451792"/>
        <c:axId val="576648176"/>
      </c:barChart>
      <c:catAx>
        <c:axId val="701451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576648176"/>
        <c:crosses val="autoZero"/>
        <c:auto val="1"/>
        <c:lblAlgn val="ctr"/>
        <c:lblOffset val="100"/>
        <c:noMultiLvlLbl val="0"/>
      </c:catAx>
      <c:valAx>
        <c:axId val="576648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701451792"/>
        <c:crosses val="autoZero"/>
        <c:crossBetween val="between"/>
      </c:valAx>
      <c:spPr>
        <a:noFill/>
        <a:ln>
          <a:noFill/>
        </a:ln>
        <a:effectLst/>
      </c:spPr>
    </c:plotArea>
    <c:legend>
      <c:legendPos val="b"/>
      <c:layout>
        <c:manualLayout>
          <c:xMode val="edge"/>
          <c:yMode val="edge"/>
          <c:x val="7.0201881014873138E-2"/>
          <c:y val="0.87343318927239355"/>
          <c:w val="0.8595960192475941"/>
          <c:h val="8.31248725488261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t-LT" sz="1200" b="1"/>
              <a:t>Antrojo</a:t>
            </a:r>
            <a:r>
              <a:rPr lang="lt-LT" sz="1200" b="1" baseline="0"/>
              <a:t> paslaugų gavėjo </a:t>
            </a:r>
            <a:r>
              <a:rPr lang="lt-LT" sz="1200" b="1"/>
              <a:t>gyvenimo kokybės pokytis per 2024 m.- 2025 m.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t-LT"/>
        </a:p>
      </c:txPr>
    </c:title>
    <c:autoTitleDeleted val="0"/>
    <c:plotArea>
      <c:layout/>
      <c:barChart>
        <c:barDir val="col"/>
        <c:grouping val="clustered"/>
        <c:varyColors val="0"/>
        <c:ser>
          <c:idx val="0"/>
          <c:order val="0"/>
          <c:tx>
            <c:strRef>
              <c:f>Lapas1!$A$30</c:f>
              <c:strCache>
                <c:ptCount val="1"/>
                <c:pt idx="0">
                  <c:v>Sveikata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Lapas1!$B$28:$E$29</c:f>
              <c:multiLvlStrCache>
                <c:ptCount val="4"/>
                <c:lvl>
                  <c:pt idx="0">
                    <c:v>Sutinku</c:v>
                  </c:pt>
                  <c:pt idx="1">
                    <c:v>Nesutinku</c:v>
                  </c:pt>
                  <c:pt idx="2">
                    <c:v>Sutinku</c:v>
                  </c:pt>
                  <c:pt idx="3">
                    <c:v>Nesutinku</c:v>
                  </c:pt>
                </c:lvl>
                <c:lvl>
                  <c:pt idx="0">
                    <c:v>2024 m.</c:v>
                  </c:pt>
                  <c:pt idx="2">
                    <c:v>2025 m.</c:v>
                  </c:pt>
                </c:lvl>
              </c:multiLvlStrCache>
            </c:multiLvlStrRef>
          </c:cat>
          <c:val>
            <c:numRef>
              <c:f>Lapas1!$B$30:$E$30</c:f>
              <c:numCache>
                <c:formatCode>General</c:formatCode>
                <c:ptCount val="4"/>
                <c:pt idx="1">
                  <c:v>3</c:v>
                </c:pt>
                <c:pt idx="2">
                  <c:v>2</c:v>
                </c:pt>
                <c:pt idx="3">
                  <c:v>1</c:v>
                </c:pt>
              </c:numCache>
            </c:numRef>
          </c:val>
          <c:extLst>
            <c:ext xmlns:c16="http://schemas.microsoft.com/office/drawing/2014/chart" uri="{C3380CC4-5D6E-409C-BE32-E72D297353CC}">
              <c16:uniqueId val="{00000000-5BF3-4336-B798-A3482D9882B7}"/>
            </c:ext>
          </c:extLst>
        </c:ser>
        <c:ser>
          <c:idx val="1"/>
          <c:order val="1"/>
          <c:tx>
            <c:strRef>
              <c:f>Lapas1!$A$31</c:f>
              <c:strCache>
                <c:ptCount val="1"/>
                <c:pt idx="0">
                  <c:v>Gerbūvis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Lapas1!$B$28:$E$29</c:f>
              <c:multiLvlStrCache>
                <c:ptCount val="4"/>
                <c:lvl>
                  <c:pt idx="0">
                    <c:v>Sutinku</c:v>
                  </c:pt>
                  <c:pt idx="1">
                    <c:v>Nesutinku</c:v>
                  </c:pt>
                  <c:pt idx="2">
                    <c:v>Sutinku</c:v>
                  </c:pt>
                  <c:pt idx="3">
                    <c:v>Nesutinku</c:v>
                  </c:pt>
                </c:lvl>
                <c:lvl>
                  <c:pt idx="0">
                    <c:v>2024 m.</c:v>
                  </c:pt>
                  <c:pt idx="2">
                    <c:v>2025 m.</c:v>
                  </c:pt>
                </c:lvl>
              </c:multiLvlStrCache>
            </c:multiLvlStrRef>
          </c:cat>
          <c:val>
            <c:numRef>
              <c:f>Lapas1!$B$31:$E$31</c:f>
              <c:numCache>
                <c:formatCode>General</c:formatCode>
                <c:ptCount val="4"/>
                <c:pt idx="0">
                  <c:v>4</c:v>
                </c:pt>
                <c:pt idx="1">
                  <c:v>1</c:v>
                </c:pt>
                <c:pt idx="2">
                  <c:v>3</c:v>
                </c:pt>
                <c:pt idx="3">
                  <c:v>2</c:v>
                </c:pt>
              </c:numCache>
            </c:numRef>
          </c:val>
          <c:extLst>
            <c:ext xmlns:c16="http://schemas.microsoft.com/office/drawing/2014/chart" uri="{C3380CC4-5D6E-409C-BE32-E72D297353CC}">
              <c16:uniqueId val="{00000001-5BF3-4336-B798-A3482D9882B7}"/>
            </c:ext>
          </c:extLst>
        </c:ser>
        <c:ser>
          <c:idx val="2"/>
          <c:order val="2"/>
          <c:tx>
            <c:strRef>
              <c:f>Lapas1!$A$32</c:f>
              <c:strCache>
                <c:ptCount val="1"/>
                <c:pt idx="0">
                  <c:v>Saugumas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Lapas1!$B$28:$E$29</c:f>
              <c:multiLvlStrCache>
                <c:ptCount val="4"/>
                <c:lvl>
                  <c:pt idx="0">
                    <c:v>Sutinku</c:v>
                  </c:pt>
                  <c:pt idx="1">
                    <c:v>Nesutinku</c:v>
                  </c:pt>
                  <c:pt idx="2">
                    <c:v>Sutinku</c:v>
                  </c:pt>
                  <c:pt idx="3">
                    <c:v>Nesutinku</c:v>
                  </c:pt>
                </c:lvl>
                <c:lvl>
                  <c:pt idx="0">
                    <c:v>2024 m.</c:v>
                  </c:pt>
                  <c:pt idx="2">
                    <c:v>2025 m.</c:v>
                  </c:pt>
                </c:lvl>
              </c:multiLvlStrCache>
            </c:multiLvlStrRef>
          </c:cat>
          <c:val>
            <c:numRef>
              <c:f>Lapas1!$B$32:$E$32</c:f>
              <c:numCache>
                <c:formatCode>General</c:formatCode>
                <c:ptCount val="4"/>
                <c:pt idx="0">
                  <c:v>6</c:v>
                </c:pt>
                <c:pt idx="1">
                  <c:v>2</c:v>
                </c:pt>
                <c:pt idx="2">
                  <c:v>6</c:v>
                </c:pt>
                <c:pt idx="3">
                  <c:v>2</c:v>
                </c:pt>
              </c:numCache>
            </c:numRef>
          </c:val>
          <c:extLst>
            <c:ext xmlns:c16="http://schemas.microsoft.com/office/drawing/2014/chart" uri="{C3380CC4-5D6E-409C-BE32-E72D297353CC}">
              <c16:uniqueId val="{00000002-5BF3-4336-B798-A3482D9882B7}"/>
            </c:ext>
          </c:extLst>
        </c:ser>
        <c:ser>
          <c:idx val="3"/>
          <c:order val="3"/>
          <c:tx>
            <c:strRef>
              <c:f>Lapas1!$A$33</c:f>
              <c:strCache>
                <c:ptCount val="1"/>
                <c:pt idx="0">
                  <c:v>Socialiniai ryšiai</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Lapas1!$B$28:$E$29</c:f>
              <c:multiLvlStrCache>
                <c:ptCount val="4"/>
                <c:lvl>
                  <c:pt idx="0">
                    <c:v>Sutinku</c:v>
                  </c:pt>
                  <c:pt idx="1">
                    <c:v>Nesutinku</c:v>
                  </c:pt>
                  <c:pt idx="2">
                    <c:v>Sutinku</c:v>
                  </c:pt>
                  <c:pt idx="3">
                    <c:v>Nesutinku</c:v>
                  </c:pt>
                </c:lvl>
                <c:lvl>
                  <c:pt idx="0">
                    <c:v>2024 m.</c:v>
                  </c:pt>
                  <c:pt idx="2">
                    <c:v>2025 m.</c:v>
                  </c:pt>
                </c:lvl>
              </c:multiLvlStrCache>
            </c:multiLvlStrRef>
          </c:cat>
          <c:val>
            <c:numRef>
              <c:f>Lapas1!$B$33:$E$33</c:f>
              <c:numCache>
                <c:formatCode>General</c:formatCode>
                <c:ptCount val="4"/>
                <c:pt idx="0">
                  <c:v>5</c:v>
                </c:pt>
                <c:pt idx="2">
                  <c:v>4</c:v>
                </c:pt>
                <c:pt idx="3">
                  <c:v>1</c:v>
                </c:pt>
              </c:numCache>
            </c:numRef>
          </c:val>
          <c:extLst>
            <c:ext xmlns:c16="http://schemas.microsoft.com/office/drawing/2014/chart" uri="{C3380CC4-5D6E-409C-BE32-E72D297353CC}">
              <c16:uniqueId val="{00000003-5BF3-4336-B798-A3482D9882B7}"/>
            </c:ext>
          </c:extLst>
        </c:ser>
        <c:ser>
          <c:idx val="4"/>
          <c:order val="4"/>
          <c:tx>
            <c:strRef>
              <c:f>Lapas1!$A$34</c:f>
              <c:strCache>
                <c:ptCount val="1"/>
                <c:pt idx="0">
                  <c:v>Savirealizacija</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Lapas1!$B$28:$E$29</c:f>
              <c:multiLvlStrCache>
                <c:ptCount val="4"/>
                <c:lvl>
                  <c:pt idx="0">
                    <c:v>Sutinku</c:v>
                  </c:pt>
                  <c:pt idx="1">
                    <c:v>Nesutinku</c:v>
                  </c:pt>
                  <c:pt idx="2">
                    <c:v>Sutinku</c:v>
                  </c:pt>
                  <c:pt idx="3">
                    <c:v>Nesutinku</c:v>
                  </c:pt>
                </c:lvl>
                <c:lvl>
                  <c:pt idx="0">
                    <c:v>2024 m.</c:v>
                  </c:pt>
                  <c:pt idx="2">
                    <c:v>2025 m.</c:v>
                  </c:pt>
                </c:lvl>
              </c:multiLvlStrCache>
            </c:multiLvlStrRef>
          </c:cat>
          <c:val>
            <c:numRef>
              <c:f>Lapas1!$B$34:$E$34</c:f>
              <c:numCache>
                <c:formatCode>General</c:formatCode>
                <c:ptCount val="4"/>
                <c:pt idx="0">
                  <c:v>2</c:v>
                </c:pt>
                <c:pt idx="1">
                  <c:v>1</c:v>
                </c:pt>
                <c:pt idx="2">
                  <c:v>2</c:v>
                </c:pt>
                <c:pt idx="3">
                  <c:v>1</c:v>
                </c:pt>
              </c:numCache>
            </c:numRef>
          </c:val>
          <c:extLst>
            <c:ext xmlns:c16="http://schemas.microsoft.com/office/drawing/2014/chart" uri="{C3380CC4-5D6E-409C-BE32-E72D297353CC}">
              <c16:uniqueId val="{00000004-5BF3-4336-B798-A3482D9882B7}"/>
            </c:ext>
          </c:extLst>
        </c:ser>
        <c:dLbls>
          <c:showLegendKey val="0"/>
          <c:showVal val="0"/>
          <c:showCatName val="0"/>
          <c:showSerName val="0"/>
          <c:showPercent val="0"/>
          <c:showBubbleSize val="0"/>
        </c:dLbls>
        <c:gapWidth val="219"/>
        <c:overlap val="-27"/>
        <c:axId val="777959696"/>
        <c:axId val="586035536"/>
      </c:barChart>
      <c:catAx>
        <c:axId val="777959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586035536"/>
        <c:crosses val="autoZero"/>
        <c:auto val="1"/>
        <c:lblAlgn val="ctr"/>
        <c:lblOffset val="100"/>
        <c:noMultiLvlLbl val="0"/>
      </c:catAx>
      <c:valAx>
        <c:axId val="586035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777959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a:t>Gyventoj</a:t>
            </a:r>
            <a:r>
              <a:rPr lang="lt-LT" sz="1200" b="1"/>
              <a:t>ų</a:t>
            </a:r>
            <a:r>
              <a:rPr lang="en-US" sz="1200" b="1"/>
              <a:t> pasitenkinimo </a:t>
            </a:r>
            <a:r>
              <a:rPr lang="lt-LT" sz="1200" b="1"/>
              <a:t>įvairiomis teikiamomis paslaugomis</a:t>
            </a:r>
            <a:r>
              <a:rPr lang="lt-LT" sz="1200" b="1" baseline="0"/>
              <a:t> 2024 - 2025 m. palyginimas</a:t>
            </a:r>
            <a:r>
              <a:rPr lang="lt-LT" sz="1200" b="1"/>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t-LT"/>
        </a:p>
      </c:txPr>
    </c:title>
    <c:autoTitleDeleted val="0"/>
    <c:plotArea>
      <c:layout/>
      <c:barChart>
        <c:barDir val="bar"/>
        <c:grouping val="percentStacked"/>
        <c:varyColors val="0"/>
        <c:ser>
          <c:idx val="0"/>
          <c:order val="0"/>
          <c:tx>
            <c:strRef>
              <c:f>Lapas1!$B$1:$B$2</c:f>
              <c:strCache>
                <c:ptCount val="2"/>
                <c:pt idx="0">
                  <c:v>2024 m. </c:v>
                </c:pt>
                <c:pt idx="1">
                  <c:v>Tenkina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Lapas1!$A$3:$A$10</c:f>
              <c:strCache>
                <c:ptCount val="8"/>
                <c:pt idx="0">
                  <c:v>Tarpusavio santykiai</c:v>
                </c:pt>
                <c:pt idx="1">
                  <c:v>Santykiai su darbuotojais</c:v>
                </c:pt>
                <c:pt idx="2">
                  <c:v>Vidaus tvarkos taisyklės</c:v>
                </c:pt>
                <c:pt idx="3">
                  <c:v>Aplinka ir patalpos</c:v>
                </c:pt>
                <c:pt idx="4">
                  <c:v>Užimtumas ir kitoų veiklų organizavimas</c:v>
                </c:pt>
                <c:pt idx="5">
                  <c:v>Sveikatos priežiūros paslaugos, priežiūros organizavimas</c:v>
                </c:pt>
                <c:pt idx="6">
                  <c:v>Skalbyklos teikiamos paslaugos</c:v>
                </c:pt>
                <c:pt idx="7">
                  <c:v>Maisto racionas</c:v>
                </c:pt>
              </c:strCache>
            </c:strRef>
          </c:cat>
          <c:val>
            <c:numRef>
              <c:f>Lapas1!$B$3:$B$10</c:f>
              <c:numCache>
                <c:formatCode>0%</c:formatCode>
                <c:ptCount val="8"/>
                <c:pt idx="0">
                  <c:v>0.91</c:v>
                </c:pt>
                <c:pt idx="1">
                  <c:v>1</c:v>
                </c:pt>
                <c:pt idx="2">
                  <c:v>0.9</c:v>
                </c:pt>
                <c:pt idx="3">
                  <c:v>0.88</c:v>
                </c:pt>
                <c:pt idx="4">
                  <c:v>0.79</c:v>
                </c:pt>
                <c:pt idx="5">
                  <c:v>0.68</c:v>
                </c:pt>
                <c:pt idx="6">
                  <c:v>0.96</c:v>
                </c:pt>
                <c:pt idx="7">
                  <c:v>0.57999999999999996</c:v>
                </c:pt>
              </c:numCache>
            </c:numRef>
          </c:val>
          <c:extLst>
            <c:ext xmlns:c16="http://schemas.microsoft.com/office/drawing/2014/chart" uri="{C3380CC4-5D6E-409C-BE32-E72D297353CC}">
              <c16:uniqueId val="{00000000-6F60-4EC9-BC22-FEB3A5F9A4A0}"/>
            </c:ext>
          </c:extLst>
        </c:ser>
        <c:ser>
          <c:idx val="1"/>
          <c:order val="1"/>
          <c:tx>
            <c:strRef>
              <c:f>Lapas1!$C$1:$C$2</c:f>
              <c:strCache>
                <c:ptCount val="2"/>
                <c:pt idx="0">
                  <c:v>2025 m.</c:v>
                </c:pt>
                <c:pt idx="1">
                  <c:v>Tenkina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Lapas1!$A$3:$A$10</c:f>
              <c:strCache>
                <c:ptCount val="8"/>
                <c:pt idx="0">
                  <c:v>Tarpusavio santykiai</c:v>
                </c:pt>
                <c:pt idx="1">
                  <c:v>Santykiai su darbuotojais</c:v>
                </c:pt>
                <c:pt idx="2">
                  <c:v>Vidaus tvarkos taisyklės</c:v>
                </c:pt>
                <c:pt idx="3">
                  <c:v>Aplinka ir patalpos</c:v>
                </c:pt>
                <c:pt idx="4">
                  <c:v>Užimtumas ir kitoų veiklų organizavimas</c:v>
                </c:pt>
                <c:pt idx="5">
                  <c:v>Sveikatos priežiūros paslaugos, priežiūros organizavimas</c:v>
                </c:pt>
                <c:pt idx="6">
                  <c:v>Skalbyklos teikiamos paslaugos</c:v>
                </c:pt>
                <c:pt idx="7">
                  <c:v>Maisto racionas</c:v>
                </c:pt>
              </c:strCache>
            </c:strRef>
          </c:cat>
          <c:val>
            <c:numRef>
              <c:f>Lapas1!$C$3:$C$10</c:f>
              <c:numCache>
                <c:formatCode>0%</c:formatCode>
                <c:ptCount val="8"/>
                <c:pt idx="0">
                  <c:v>0.59</c:v>
                </c:pt>
                <c:pt idx="1">
                  <c:v>1</c:v>
                </c:pt>
                <c:pt idx="2">
                  <c:v>0.75</c:v>
                </c:pt>
                <c:pt idx="3">
                  <c:v>0.76</c:v>
                </c:pt>
                <c:pt idx="4">
                  <c:v>0.59</c:v>
                </c:pt>
                <c:pt idx="5">
                  <c:v>0.32</c:v>
                </c:pt>
                <c:pt idx="6">
                  <c:v>0.55000000000000004</c:v>
                </c:pt>
                <c:pt idx="7">
                  <c:v>0.4</c:v>
                </c:pt>
              </c:numCache>
            </c:numRef>
          </c:val>
          <c:extLst>
            <c:ext xmlns:c16="http://schemas.microsoft.com/office/drawing/2014/chart" uri="{C3380CC4-5D6E-409C-BE32-E72D297353CC}">
              <c16:uniqueId val="{00000001-6F60-4EC9-BC22-FEB3A5F9A4A0}"/>
            </c:ext>
          </c:extLst>
        </c:ser>
        <c:dLbls>
          <c:dLblPos val="ctr"/>
          <c:showLegendKey val="0"/>
          <c:showVal val="1"/>
          <c:showCatName val="0"/>
          <c:showSerName val="0"/>
          <c:showPercent val="0"/>
          <c:showBubbleSize val="0"/>
        </c:dLbls>
        <c:gapWidth val="150"/>
        <c:overlap val="100"/>
        <c:axId val="1323941679"/>
        <c:axId val="1314472175"/>
      </c:barChart>
      <c:catAx>
        <c:axId val="132394167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314472175"/>
        <c:crosses val="autoZero"/>
        <c:auto val="1"/>
        <c:lblAlgn val="ctr"/>
        <c:lblOffset val="100"/>
        <c:noMultiLvlLbl val="0"/>
      </c:catAx>
      <c:valAx>
        <c:axId val="131447217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3239416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a:t>Gyventoj</a:t>
            </a:r>
            <a:r>
              <a:rPr lang="lt-LT" sz="1200" b="1"/>
              <a:t>ų</a:t>
            </a:r>
            <a:r>
              <a:rPr lang="en-US" sz="1200" b="1"/>
              <a:t> </a:t>
            </a:r>
            <a:r>
              <a:rPr lang="lt-LT" sz="1200" b="1"/>
              <a:t>artimųjų </a:t>
            </a:r>
            <a:r>
              <a:rPr lang="en-US" sz="1200" b="1"/>
              <a:t>pasitenkinimo </a:t>
            </a:r>
            <a:r>
              <a:rPr lang="lt-LT" sz="1200" b="1"/>
              <a:t>įvairiomis teikiamomis paslaugomis</a:t>
            </a:r>
            <a:r>
              <a:rPr lang="lt-LT" sz="1200" b="1" baseline="0"/>
              <a:t> 2024 m. - 2025 m. palyginimas</a:t>
            </a:r>
            <a:r>
              <a:rPr lang="lt-LT" sz="1200" b="1"/>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t-LT"/>
        </a:p>
      </c:txPr>
    </c:title>
    <c:autoTitleDeleted val="0"/>
    <c:plotArea>
      <c:layout>
        <c:manualLayout>
          <c:layoutTarget val="inner"/>
          <c:xMode val="edge"/>
          <c:yMode val="edge"/>
          <c:x val="0.46147200349956258"/>
          <c:y val="0.22824074074074074"/>
          <c:w val="0.4800349956255468"/>
          <c:h val="0.53675367075789582"/>
        </c:manualLayout>
      </c:layout>
      <c:barChart>
        <c:barDir val="bar"/>
        <c:grouping val="percentStacked"/>
        <c:varyColors val="0"/>
        <c:ser>
          <c:idx val="0"/>
          <c:order val="0"/>
          <c:tx>
            <c:strRef>
              <c:f>Lapas1!$B$1:$B$2</c:f>
              <c:strCache>
                <c:ptCount val="2"/>
                <c:pt idx="0">
                  <c:v>2024 m. </c:v>
                </c:pt>
                <c:pt idx="1">
                  <c:v>Tenkina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Lapas1!$A$3:$A$10</c:f>
              <c:strCache>
                <c:ptCount val="8"/>
                <c:pt idx="0">
                  <c:v>Tarpusavio santykiai</c:v>
                </c:pt>
                <c:pt idx="1">
                  <c:v>Santykiai su darbuotojais</c:v>
                </c:pt>
                <c:pt idx="2">
                  <c:v>Vidaus tvarkos taisyklės</c:v>
                </c:pt>
                <c:pt idx="3">
                  <c:v>Aplinka ir patalpos</c:v>
                </c:pt>
                <c:pt idx="4">
                  <c:v>Užimtumas ir kitoų veiklų organizavimas</c:v>
                </c:pt>
                <c:pt idx="5">
                  <c:v>Sveikatos priežiūros paslaugos, priežiūros organizavimas</c:v>
                </c:pt>
                <c:pt idx="6">
                  <c:v>Skalbyklos teikiamos paslaugos</c:v>
                </c:pt>
                <c:pt idx="7">
                  <c:v>Maisto racionas</c:v>
                </c:pt>
              </c:strCache>
            </c:strRef>
          </c:cat>
          <c:val>
            <c:numRef>
              <c:f>Lapas1!$B$3:$B$10</c:f>
              <c:numCache>
                <c:formatCode>0%</c:formatCode>
                <c:ptCount val="8"/>
                <c:pt idx="0">
                  <c:v>1</c:v>
                </c:pt>
                <c:pt idx="1">
                  <c:v>1</c:v>
                </c:pt>
                <c:pt idx="2">
                  <c:v>1</c:v>
                </c:pt>
                <c:pt idx="3">
                  <c:v>1</c:v>
                </c:pt>
                <c:pt idx="4">
                  <c:v>0.98</c:v>
                </c:pt>
                <c:pt idx="5">
                  <c:v>1</c:v>
                </c:pt>
                <c:pt idx="6">
                  <c:v>0.98</c:v>
                </c:pt>
                <c:pt idx="7">
                  <c:v>0.98</c:v>
                </c:pt>
              </c:numCache>
            </c:numRef>
          </c:val>
          <c:extLst>
            <c:ext xmlns:c16="http://schemas.microsoft.com/office/drawing/2014/chart" uri="{C3380CC4-5D6E-409C-BE32-E72D297353CC}">
              <c16:uniqueId val="{00000000-7AE0-41BD-8FC3-DD69C1CC7507}"/>
            </c:ext>
          </c:extLst>
        </c:ser>
        <c:ser>
          <c:idx val="1"/>
          <c:order val="1"/>
          <c:tx>
            <c:strRef>
              <c:f>Lapas1!$C$1:$C$2</c:f>
              <c:strCache>
                <c:ptCount val="2"/>
                <c:pt idx="0">
                  <c:v>2025 m.</c:v>
                </c:pt>
                <c:pt idx="1">
                  <c:v>Tenkina</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Lapas1!$A$3:$A$10</c:f>
              <c:strCache>
                <c:ptCount val="8"/>
                <c:pt idx="0">
                  <c:v>Tarpusavio santykiai</c:v>
                </c:pt>
                <c:pt idx="1">
                  <c:v>Santykiai su darbuotojais</c:v>
                </c:pt>
                <c:pt idx="2">
                  <c:v>Vidaus tvarkos taisyklės</c:v>
                </c:pt>
                <c:pt idx="3">
                  <c:v>Aplinka ir patalpos</c:v>
                </c:pt>
                <c:pt idx="4">
                  <c:v>Užimtumas ir kitoų veiklų organizavimas</c:v>
                </c:pt>
                <c:pt idx="5">
                  <c:v>Sveikatos priežiūros paslaugos, priežiūros organizavimas</c:v>
                </c:pt>
                <c:pt idx="6">
                  <c:v>Skalbyklos teikiamos paslaugos</c:v>
                </c:pt>
                <c:pt idx="7">
                  <c:v>Maisto racionas</c:v>
                </c:pt>
              </c:strCache>
            </c:strRef>
          </c:cat>
          <c:val>
            <c:numRef>
              <c:f>Lapas1!$C$3:$C$10</c:f>
              <c:numCache>
                <c:formatCode>0%</c:formatCode>
                <c:ptCount val="8"/>
                <c:pt idx="0">
                  <c:v>1</c:v>
                </c:pt>
                <c:pt idx="1">
                  <c:v>1</c:v>
                </c:pt>
                <c:pt idx="2">
                  <c:v>0.98</c:v>
                </c:pt>
                <c:pt idx="3">
                  <c:v>1</c:v>
                </c:pt>
                <c:pt idx="4">
                  <c:v>0.98</c:v>
                </c:pt>
                <c:pt idx="5">
                  <c:v>0.96</c:v>
                </c:pt>
                <c:pt idx="6">
                  <c:v>1</c:v>
                </c:pt>
                <c:pt idx="7">
                  <c:v>0.98</c:v>
                </c:pt>
              </c:numCache>
            </c:numRef>
          </c:val>
          <c:extLst>
            <c:ext xmlns:c16="http://schemas.microsoft.com/office/drawing/2014/chart" uri="{C3380CC4-5D6E-409C-BE32-E72D297353CC}">
              <c16:uniqueId val="{00000001-7AE0-41BD-8FC3-DD69C1CC7507}"/>
            </c:ext>
          </c:extLst>
        </c:ser>
        <c:dLbls>
          <c:dLblPos val="ctr"/>
          <c:showLegendKey val="0"/>
          <c:showVal val="1"/>
          <c:showCatName val="0"/>
          <c:showSerName val="0"/>
          <c:showPercent val="0"/>
          <c:showBubbleSize val="0"/>
        </c:dLbls>
        <c:gapWidth val="150"/>
        <c:overlap val="100"/>
        <c:axId val="1323941679"/>
        <c:axId val="1314472175"/>
      </c:barChart>
      <c:catAx>
        <c:axId val="132394167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314472175"/>
        <c:crosses val="autoZero"/>
        <c:auto val="1"/>
        <c:lblAlgn val="ctr"/>
        <c:lblOffset val="100"/>
        <c:noMultiLvlLbl val="0"/>
      </c:catAx>
      <c:valAx>
        <c:axId val="131447217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323941679"/>
        <c:crosses val="autoZero"/>
        <c:crossBetween val="between"/>
      </c:valAx>
      <c:spPr>
        <a:noFill/>
        <a:ln>
          <a:noFill/>
        </a:ln>
        <a:effectLst/>
      </c:spPr>
    </c:plotArea>
    <c:legend>
      <c:legendPos val="b"/>
      <c:layout>
        <c:manualLayout>
          <c:xMode val="edge"/>
          <c:yMode val="edge"/>
          <c:x val="0.26178587051618546"/>
          <c:y val="0.87915707875761662"/>
          <c:w val="0.47642804024496938"/>
          <c:h val="6.171505723647072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1" i="0" u="none" strike="noStrike" kern="1200" cap="all" spc="120" normalizeH="0" baseline="0">
                <a:solidFill>
                  <a:schemeClr val="tx1">
                    <a:lumMod val="65000"/>
                    <a:lumOff val="35000"/>
                  </a:schemeClr>
                </a:solidFill>
                <a:latin typeface="+mn-lt"/>
                <a:ea typeface="+mn-ea"/>
                <a:cs typeface="+mn-cs"/>
              </a:defRPr>
            </a:pPr>
            <a:r>
              <a:rPr lang="en-US" sz="1100" cap="none"/>
              <a:t>Personalo pasitenkinimo darbu 2024-2025 metais palyginimas</a:t>
            </a:r>
            <a:endParaRPr lang="lt-LT" sz="1100" cap="none"/>
          </a:p>
        </c:rich>
      </c:tx>
      <c:overlay val="0"/>
      <c:spPr>
        <a:noFill/>
        <a:ln>
          <a:noFill/>
        </a:ln>
        <a:effectLst/>
      </c:spPr>
      <c:txPr>
        <a:bodyPr rot="0" spcFirstLastPara="1" vertOverflow="ellipsis" vert="horz" wrap="square" anchor="ctr" anchorCtr="1"/>
        <a:lstStyle/>
        <a:p>
          <a:pPr>
            <a:defRPr sz="1320" b="1" i="0" u="none" strike="noStrike" kern="1200" cap="all" spc="120" normalizeH="0" baseline="0">
              <a:solidFill>
                <a:schemeClr val="tx1">
                  <a:lumMod val="65000"/>
                  <a:lumOff val="35000"/>
                </a:schemeClr>
              </a:solidFill>
              <a:latin typeface="+mn-lt"/>
              <a:ea typeface="+mn-ea"/>
              <a:cs typeface="+mn-cs"/>
            </a:defRPr>
          </a:pPr>
          <a:endParaRPr lang="lt-LT"/>
        </a:p>
      </c:txPr>
    </c:title>
    <c:autoTitleDeleted val="0"/>
    <c:plotArea>
      <c:layout/>
      <c:barChart>
        <c:barDir val="col"/>
        <c:grouping val="clustered"/>
        <c:varyColors val="0"/>
        <c:ser>
          <c:idx val="0"/>
          <c:order val="0"/>
          <c:tx>
            <c:strRef>
              <c:f>Sheet1!$B$1</c:f>
              <c:strCache>
                <c:ptCount val="1"/>
                <c:pt idx="0">
                  <c:v>2024 metai</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1100"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Sheet1!$A$2:$A$8</c:f>
              <c:strCache>
                <c:ptCount val="7"/>
                <c:pt idx="0">
                  <c:v>10 balų</c:v>
                </c:pt>
                <c:pt idx="1">
                  <c:v>9 balai</c:v>
                </c:pt>
                <c:pt idx="2">
                  <c:v>8 balai</c:v>
                </c:pt>
                <c:pt idx="3">
                  <c:v>7 balai</c:v>
                </c:pt>
                <c:pt idx="4">
                  <c:v>6 balai</c:v>
                </c:pt>
                <c:pt idx="5">
                  <c:v>5 balai</c:v>
                </c:pt>
                <c:pt idx="6">
                  <c:v>4 balai</c:v>
                </c:pt>
              </c:strCache>
            </c:strRef>
          </c:cat>
          <c:val>
            <c:numRef>
              <c:f>Sheet1!$B$2:$B$8</c:f>
              <c:numCache>
                <c:formatCode>0%</c:formatCode>
                <c:ptCount val="7"/>
                <c:pt idx="0">
                  <c:v>0.22</c:v>
                </c:pt>
                <c:pt idx="1">
                  <c:v>0.3</c:v>
                </c:pt>
                <c:pt idx="2">
                  <c:v>0.22</c:v>
                </c:pt>
                <c:pt idx="3">
                  <c:v>0.04</c:v>
                </c:pt>
                <c:pt idx="4">
                  <c:v>0.04</c:v>
                </c:pt>
                <c:pt idx="5">
                  <c:v>0.13</c:v>
                </c:pt>
                <c:pt idx="6">
                  <c:v>0.04</c:v>
                </c:pt>
              </c:numCache>
            </c:numRef>
          </c:val>
          <c:extLst>
            <c:ext xmlns:c16="http://schemas.microsoft.com/office/drawing/2014/chart" uri="{C3380CC4-5D6E-409C-BE32-E72D297353CC}">
              <c16:uniqueId val="{00000000-884B-424B-9D7E-02D44F569E2B}"/>
            </c:ext>
          </c:extLst>
        </c:ser>
        <c:ser>
          <c:idx val="1"/>
          <c:order val="1"/>
          <c:tx>
            <c:strRef>
              <c:f>Sheet1!$C$1</c:f>
              <c:strCache>
                <c:ptCount val="1"/>
                <c:pt idx="0">
                  <c:v>2025 metai</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1100"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Sheet1!$A$2:$A$8</c:f>
              <c:strCache>
                <c:ptCount val="7"/>
                <c:pt idx="0">
                  <c:v>10 balų</c:v>
                </c:pt>
                <c:pt idx="1">
                  <c:v>9 balai</c:v>
                </c:pt>
                <c:pt idx="2">
                  <c:v>8 balai</c:v>
                </c:pt>
                <c:pt idx="3">
                  <c:v>7 balai</c:v>
                </c:pt>
                <c:pt idx="4">
                  <c:v>6 balai</c:v>
                </c:pt>
                <c:pt idx="5">
                  <c:v>5 balai</c:v>
                </c:pt>
                <c:pt idx="6">
                  <c:v>4 balai</c:v>
                </c:pt>
              </c:strCache>
            </c:strRef>
          </c:cat>
          <c:val>
            <c:numRef>
              <c:f>Sheet1!$C$2:$C$8</c:f>
              <c:numCache>
                <c:formatCode>0%</c:formatCode>
                <c:ptCount val="7"/>
                <c:pt idx="0">
                  <c:v>0.28999999999999998</c:v>
                </c:pt>
                <c:pt idx="1">
                  <c:v>0.28999999999999998</c:v>
                </c:pt>
                <c:pt idx="2">
                  <c:v>0.26</c:v>
                </c:pt>
                <c:pt idx="3">
                  <c:v>0</c:v>
                </c:pt>
                <c:pt idx="4">
                  <c:v>0.03</c:v>
                </c:pt>
                <c:pt idx="5">
                  <c:v>0.1</c:v>
                </c:pt>
                <c:pt idx="6">
                  <c:v>0.03</c:v>
                </c:pt>
              </c:numCache>
            </c:numRef>
          </c:val>
          <c:extLst>
            <c:ext xmlns:c16="http://schemas.microsoft.com/office/drawing/2014/chart" uri="{C3380CC4-5D6E-409C-BE32-E72D297353CC}">
              <c16:uniqueId val="{00000001-884B-424B-9D7E-02D44F569E2B}"/>
            </c:ext>
          </c:extLst>
        </c:ser>
        <c:dLbls>
          <c:dLblPos val="outEnd"/>
          <c:showLegendKey val="0"/>
          <c:showVal val="1"/>
          <c:showCatName val="0"/>
          <c:showSerName val="0"/>
          <c:showPercent val="0"/>
          <c:showBubbleSize val="0"/>
        </c:dLbls>
        <c:gapWidth val="444"/>
        <c:overlap val="-90"/>
        <c:axId val="347303376"/>
        <c:axId val="347299416"/>
      </c:barChart>
      <c:catAx>
        <c:axId val="3473033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cap="none" spc="120" normalizeH="0" baseline="0">
                <a:solidFill>
                  <a:schemeClr val="tx1">
                    <a:lumMod val="65000"/>
                    <a:lumOff val="35000"/>
                  </a:schemeClr>
                </a:solidFill>
                <a:latin typeface="+mn-lt"/>
                <a:ea typeface="+mn-ea"/>
                <a:cs typeface="+mn-cs"/>
              </a:defRPr>
            </a:pPr>
            <a:endParaRPr lang="lt-LT"/>
          </a:p>
        </c:txPr>
        <c:crossAx val="347299416"/>
        <c:crosses val="autoZero"/>
        <c:auto val="1"/>
        <c:lblAlgn val="ctr"/>
        <c:lblOffset val="100"/>
        <c:noMultiLvlLbl val="0"/>
      </c:catAx>
      <c:valAx>
        <c:axId val="347299416"/>
        <c:scaling>
          <c:orientation val="minMax"/>
        </c:scaling>
        <c:delete val="1"/>
        <c:axPos val="l"/>
        <c:numFmt formatCode="0%" sourceLinked="1"/>
        <c:majorTickMark val="none"/>
        <c:minorTickMark val="none"/>
        <c:tickLblPos val="nextTo"/>
        <c:crossAx val="34730337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sz="1100"/>
      </a:pPr>
      <a:endParaRPr lang="lt-L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withinLinear" id="17">
  <a:schemeClr val="accent4"/>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DC659-B9B6-470C-8188-ED32AE2FE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27670</Words>
  <Characters>15772</Characters>
  <Application>Microsoft Office Word</Application>
  <DocSecurity>0</DocSecurity>
  <Lines>131</Lines>
  <Paragraphs>86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Stonaitytė</dc:creator>
  <cp:keywords/>
  <dc:description/>
  <cp:lastModifiedBy>Neringa</cp:lastModifiedBy>
  <cp:revision>2</cp:revision>
  <cp:lastPrinted>2026-08-11T08:52:00Z</cp:lastPrinted>
  <dcterms:created xsi:type="dcterms:W3CDTF">2026-08-21T08:16:00Z</dcterms:created>
  <dcterms:modified xsi:type="dcterms:W3CDTF">2026-08-21T08:16:00Z</dcterms:modified>
</cp:coreProperties>
</file>